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30456">
      <w:pPr>
        <w:tabs>
          <w:tab w:val="left" w:pos="315"/>
          <w:tab w:val="left" w:pos="8820"/>
        </w:tabs>
        <w:spacing w:beforeLines="100" w:afterLines="50" w:line="500" w:lineRule="exact"/>
        <w:ind w:right="267" w:rightChars="127"/>
        <w:jc w:val="center"/>
        <w:rPr>
          <w:rFonts w:ascii="宋体" w:hAnsi="宋体" w:eastAsia="宋体"/>
          <w:b/>
          <w:bCs/>
          <w:sz w:val="52"/>
          <w:szCs w:val="52"/>
        </w:rPr>
      </w:pPr>
      <w:bookmarkStart w:id="347" w:name="_GoBack"/>
      <w:bookmarkEnd w:id="347"/>
    </w:p>
    <w:p w14:paraId="6B7A2094">
      <w:pPr>
        <w:tabs>
          <w:tab w:val="left" w:pos="315"/>
          <w:tab w:val="left" w:pos="8820"/>
        </w:tabs>
        <w:spacing w:beforeLines="100" w:afterLines="50" w:line="500" w:lineRule="exact"/>
        <w:ind w:right="267" w:rightChars="127"/>
        <w:jc w:val="center"/>
        <w:rPr>
          <w:rFonts w:ascii="宋体" w:hAnsi="宋体" w:eastAsia="宋体"/>
          <w:b/>
          <w:bCs/>
          <w:sz w:val="52"/>
          <w:szCs w:val="52"/>
        </w:rPr>
      </w:pPr>
    </w:p>
    <w:p w14:paraId="2D10DB9A">
      <w:pPr>
        <w:tabs>
          <w:tab w:val="left" w:pos="315"/>
          <w:tab w:val="left" w:pos="8820"/>
        </w:tabs>
        <w:spacing w:beforeLines="100"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竞争性磋商文件示范文本（服务类）</w:t>
      </w:r>
    </w:p>
    <w:bookmarkEnd w:id="0"/>
    <w:p w14:paraId="40AA818C">
      <w:pPr>
        <w:tabs>
          <w:tab w:val="left" w:pos="315"/>
          <w:tab w:val="left" w:pos="8820"/>
        </w:tabs>
        <w:spacing w:beforeLines="10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（2024版）</w:t>
      </w:r>
    </w:p>
    <w:p w14:paraId="6ED83636">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278025EF">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1FE30802">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44DF0602">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51381F53">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4D4B4733">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rPr>
        <w:t>滁州市自然资源勘测规划研究院有限公司OA协同办公管理系统采购项目</w:t>
      </w:r>
    </w:p>
    <w:p w14:paraId="336EAF05">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14:paraId="4A088A3E">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rPr>
        <w:t xml:space="preserve">滁州市自然资源勘测规划研究院有限公司 </w:t>
      </w:r>
    </w:p>
    <w:p w14:paraId="7F10CBB7">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14:paraId="0D4FB118">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 xml:space="preserve">合普项目管理咨询集团有限公司  </w:t>
      </w:r>
    </w:p>
    <w:p w14:paraId="3AEF763C">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2C43D7B2">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 xml:space="preserve"> 2024 </w:t>
      </w:r>
      <w:r>
        <w:rPr>
          <w:rFonts w:hint="eastAsia" w:ascii="宋体" w:hAnsi="宋体" w:eastAsia="宋体"/>
          <w:b/>
          <w:sz w:val="36"/>
        </w:rPr>
        <w:t>年</w:t>
      </w:r>
      <w:r>
        <w:rPr>
          <w:rFonts w:hint="eastAsia" w:ascii="宋体" w:hAnsi="宋体" w:eastAsia="宋体"/>
          <w:b/>
          <w:sz w:val="36"/>
          <w:u w:val="single"/>
        </w:rPr>
        <w:t>9</w:t>
      </w:r>
      <w:r>
        <w:rPr>
          <w:rFonts w:hint="eastAsia" w:ascii="宋体" w:hAnsi="宋体" w:eastAsia="宋体"/>
          <w:b/>
          <w:sz w:val="36"/>
        </w:rPr>
        <w:t>月</w:t>
      </w:r>
    </w:p>
    <w:p w14:paraId="655F7711">
      <w:pPr>
        <w:rPr>
          <w:rFonts w:ascii="宋体" w:hAnsi="宋体" w:eastAsia="宋体"/>
          <w:b/>
          <w:sz w:val="36"/>
        </w:rPr>
      </w:pPr>
      <w:r>
        <w:rPr>
          <w:rFonts w:hint="eastAsia" w:ascii="宋体" w:hAnsi="宋体" w:eastAsia="宋体"/>
          <w:b/>
          <w:sz w:val="36"/>
        </w:rPr>
        <w:br w:type="page"/>
      </w:r>
    </w:p>
    <w:p w14:paraId="27954F73">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370EEFEF">
      <w:pPr>
        <w:tabs>
          <w:tab w:val="left" w:pos="2410"/>
        </w:tabs>
        <w:autoSpaceDE w:val="0"/>
        <w:autoSpaceDN w:val="0"/>
        <w:adjustRightInd w:val="0"/>
        <w:snapToGrid w:val="0"/>
        <w:spacing w:line="360" w:lineRule="auto"/>
        <w:jc w:val="center"/>
        <w:rPr>
          <w:rFonts w:ascii="宋体" w:hAnsi="宋体" w:eastAsia="宋体"/>
          <w:b/>
          <w:sz w:val="28"/>
        </w:rPr>
      </w:pPr>
    </w:p>
    <w:p w14:paraId="4C1A4258">
      <w:pPr>
        <w:pStyle w:val="20"/>
        <w:tabs>
          <w:tab w:val="right" w:leader="dot" w:pos="827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"_Toc18770"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rPr>
        <w:t>磋商邀请</w:t>
      </w:r>
      <w:r>
        <w:tab/>
      </w:r>
      <w:r>
        <w:fldChar w:fldCharType="begin"/>
      </w:r>
      <w:r>
        <w:instrText xml:space="preserve"> PAGEREF _Toc18770 \h </w:instrText>
      </w:r>
      <w:r>
        <w:fldChar w:fldCharType="separate"/>
      </w:r>
      <w:r>
        <w:t>1</w:t>
      </w:r>
      <w:r>
        <w:fldChar w:fldCharType="end"/>
      </w:r>
      <w:r>
        <w:fldChar w:fldCharType="end"/>
      </w:r>
    </w:p>
    <w:p w14:paraId="04075E2A">
      <w:pPr>
        <w:pStyle w:val="20"/>
        <w:tabs>
          <w:tab w:val="right" w:leader="dot" w:pos="8279"/>
        </w:tabs>
      </w:pPr>
      <w:r>
        <w:fldChar w:fldCharType="begin"/>
      </w:r>
      <w:r>
        <w:instrText xml:space="preserve"> HYPERLINK \l "_Toc31004"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fldChar w:fldCharType="begin"/>
      </w:r>
      <w:r>
        <w:instrText xml:space="preserve"> PAGEREF _Toc31004 \h </w:instrText>
      </w:r>
      <w:r>
        <w:fldChar w:fldCharType="separate"/>
      </w:r>
      <w:r>
        <w:t>3</w:t>
      </w:r>
      <w:r>
        <w:fldChar w:fldCharType="end"/>
      </w:r>
      <w:r>
        <w:fldChar w:fldCharType="end"/>
      </w:r>
    </w:p>
    <w:p w14:paraId="17970864">
      <w:pPr>
        <w:pStyle w:val="20"/>
        <w:tabs>
          <w:tab w:val="right" w:leader="dot" w:pos="8279"/>
        </w:tabs>
      </w:pPr>
      <w:r>
        <w:fldChar w:fldCharType="begin"/>
      </w:r>
      <w:r>
        <w:instrText xml:space="preserve"> HYPERLINK \l "_Toc23422" </w:instrText>
      </w:r>
      <w:r>
        <w:fldChar w:fldCharType="separate"/>
      </w:r>
      <w:r>
        <w:rPr>
          <w:rFonts w:hint="eastAsia" w:asciiTheme="minorEastAsia" w:hAnsiTheme="minorEastAsia"/>
        </w:rPr>
        <w:t>第三章  采购需求</w:t>
      </w:r>
      <w:r>
        <w:tab/>
      </w:r>
      <w:r>
        <w:fldChar w:fldCharType="begin"/>
      </w:r>
      <w:r>
        <w:instrText xml:space="preserve"> PAGEREF _Toc23422 \h </w:instrText>
      </w:r>
      <w:r>
        <w:fldChar w:fldCharType="separate"/>
      </w:r>
      <w:r>
        <w:t>16</w:t>
      </w:r>
      <w:r>
        <w:fldChar w:fldCharType="end"/>
      </w:r>
      <w:r>
        <w:fldChar w:fldCharType="end"/>
      </w:r>
    </w:p>
    <w:p w14:paraId="76E7537B">
      <w:pPr>
        <w:pStyle w:val="20"/>
        <w:tabs>
          <w:tab w:val="right" w:leader="dot" w:pos="8279"/>
        </w:tabs>
      </w:pPr>
      <w:r>
        <w:fldChar w:fldCharType="begin"/>
      </w:r>
      <w:r>
        <w:instrText xml:space="preserve"> HYPERLINK \l "_Toc5189" </w:instrText>
      </w:r>
      <w:r>
        <w:fldChar w:fldCharType="separate"/>
      </w:r>
      <w:r>
        <w:rPr>
          <w:rFonts w:hint="eastAsia" w:asciiTheme="minorEastAsia" w:hAnsiTheme="minorEastAsia"/>
        </w:rPr>
        <w:t>第四章  评审方法和标准</w:t>
      </w:r>
      <w:r>
        <w:tab/>
      </w:r>
      <w:r>
        <w:fldChar w:fldCharType="begin"/>
      </w:r>
      <w:r>
        <w:instrText xml:space="preserve"> PAGEREF _Toc5189 \h </w:instrText>
      </w:r>
      <w:r>
        <w:fldChar w:fldCharType="separate"/>
      </w:r>
      <w:r>
        <w:t>18</w:t>
      </w:r>
      <w:r>
        <w:fldChar w:fldCharType="end"/>
      </w:r>
      <w:r>
        <w:fldChar w:fldCharType="end"/>
      </w:r>
    </w:p>
    <w:p w14:paraId="08CF8A7E">
      <w:pPr>
        <w:pStyle w:val="20"/>
        <w:tabs>
          <w:tab w:val="right" w:leader="dot" w:pos="8279"/>
        </w:tabs>
      </w:pPr>
      <w:r>
        <w:fldChar w:fldCharType="begin"/>
      </w:r>
      <w:r>
        <w:instrText xml:space="preserve"> HYPERLINK \l "_Toc355" </w:instrText>
      </w:r>
      <w:r>
        <w:fldChar w:fldCharType="separate"/>
      </w:r>
      <w:r>
        <w:rPr>
          <w:rFonts w:hint="eastAsia" w:asciiTheme="minorEastAsia" w:hAnsiTheme="minorEastAsia"/>
        </w:rPr>
        <w:t xml:space="preserve">第五章  </w:t>
      </w:r>
      <w:r>
        <w:rPr>
          <w:rFonts w:asciiTheme="minorEastAsia" w:hAnsiTheme="minorEastAsia"/>
        </w:rPr>
        <w:t>政府采购合同</w:t>
      </w:r>
      <w:r>
        <w:tab/>
      </w:r>
      <w:r>
        <w:fldChar w:fldCharType="begin"/>
      </w:r>
      <w:r>
        <w:instrText xml:space="preserve"> PAGEREF _Toc355 \h </w:instrText>
      </w:r>
      <w:r>
        <w:fldChar w:fldCharType="separate"/>
      </w:r>
      <w:r>
        <w:t>22</w:t>
      </w:r>
      <w:r>
        <w:fldChar w:fldCharType="end"/>
      </w:r>
      <w:r>
        <w:fldChar w:fldCharType="end"/>
      </w:r>
    </w:p>
    <w:p w14:paraId="50F3B6A2">
      <w:pPr>
        <w:pStyle w:val="20"/>
        <w:tabs>
          <w:tab w:val="right" w:leader="dot" w:pos="8279"/>
        </w:tabs>
      </w:pPr>
      <w:r>
        <w:fldChar w:fldCharType="begin"/>
      </w:r>
      <w:r>
        <w:instrText xml:space="preserve"> HYPERLINK \l "_Toc2192" </w:instrText>
      </w:r>
      <w:r>
        <w:fldChar w:fldCharType="separate"/>
      </w:r>
      <w:r>
        <w:rPr>
          <w:rFonts w:hint="eastAsia" w:asciiTheme="minorEastAsia" w:hAnsiTheme="minorEastAsia"/>
        </w:rPr>
        <w:t>第六章  响应文件格式</w:t>
      </w:r>
      <w:r>
        <w:tab/>
      </w:r>
      <w:r>
        <w:fldChar w:fldCharType="begin"/>
      </w:r>
      <w:r>
        <w:instrText xml:space="preserve"> PAGEREF _Toc2192 \h </w:instrText>
      </w:r>
      <w:r>
        <w:fldChar w:fldCharType="separate"/>
      </w:r>
      <w:r>
        <w:t>31</w:t>
      </w:r>
      <w:r>
        <w:fldChar w:fldCharType="end"/>
      </w:r>
      <w:r>
        <w:fldChar w:fldCharType="end"/>
      </w:r>
    </w:p>
    <w:p w14:paraId="0F89B8F6">
      <w:pPr>
        <w:pStyle w:val="20"/>
        <w:tabs>
          <w:tab w:val="right" w:leader="dot" w:pos="8279"/>
        </w:tabs>
      </w:pPr>
      <w:r>
        <w:fldChar w:fldCharType="begin"/>
      </w:r>
      <w:r>
        <w:instrText xml:space="preserve"> HYPERLINK \l "_Toc11841" </w:instrText>
      </w:r>
      <w:r>
        <w:fldChar w:fldCharType="separate"/>
      </w:r>
      <w:r>
        <w:rPr>
          <w:rFonts w:hint="eastAsia" w:ascii="宋体" w:hAnsi="宋体" w:eastAsia="宋体"/>
          <w:bCs/>
        </w:rPr>
        <w:t>第七章  政府采购</w:t>
      </w:r>
      <w:r>
        <w:rPr>
          <w:rFonts w:hint="eastAsia" w:asciiTheme="minorEastAsia" w:hAnsiTheme="minorEastAsia"/>
        </w:rPr>
        <w:t>供应</w:t>
      </w:r>
      <w:r>
        <w:rPr>
          <w:rFonts w:hint="eastAsia" w:ascii="宋体" w:hAnsi="宋体" w:eastAsia="宋体"/>
          <w:bCs/>
        </w:rPr>
        <w:t>商询问函和质疑函范本</w:t>
      </w:r>
      <w:r>
        <w:tab/>
      </w:r>
      <w:r>
        <w:fldChar w:fldCharType="begin"/>
      </w:r>
      <w:r>
        <w:instrText xml:space="preserve"> PAGEREF _Toc11841 \h </w:instrText>
      </w:r>
      <w:r>
        <w:fldChar w:fldCharType="separate"/>
      </w:r>
      <w:r>
        <w:t>48</w:t>
      </w:r>
      <w:r>
        <w:fldChar w:fldCharType="end"/>
      </w:r>
      <w:r>
        <w:fldChar w:fldCharType="end"/>
      </w:r>
    </w:p>
    <w:p w14:paraId="7362B806">
      <w:pPr>
        <w:pStyle w:val="22"/>
        <w:tabs>
          <w:tab w:val="right" w:leader="dot" w:pos="8296"/>
        </w:tabs>
        <w:ind w:left="0"/>
      </w:pPr>
      <w:r>
        <w:rPr>
          <w:rFonts w:asciiTheme="minorEastAsia" w:hAnsiTheme="minorEastAsia"/>
          <w:bCs/>
          <w:szCs w:val="24"/>
        </w:rPr>
        <w:fldChar w:fldCharType="end"/>
      </w:r>
    </w:p>
    <w:p w14:paraId="6D9C57A0">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474" w:right="1814" w:bottom="1474" w:left="1814" w:header="851" w:footer="992" w:gutter="0"/>
          <w:cols w:space="720" w:num="1"/>
          <w:docGrid w:linePitch="462" w:charSpace="0"/>
        </w:sectPr>
      </w:pPr>
    </w:p>
    <w:p w14:paraId="266B51CB">
      <w:pPr>
        <w:spacing w:line="360" w:lineRule="auto"/>
        <w:jc w:val="center"/>
        <w:outlineLvl w:val="0"/>
        <w:rPr>
          <w:rFonts w:asciiTheme="minorEastAsia" w:hAnsiTheme="minorEastAsia" w:eastAsiaTheme="minorEastAsia"/>
          <w:b/>
          <w:sz w:val="28"/>
        </w:rPr>
      </w:pPr>
      <w:bookmarkStart w:id="1" w:name="_Toc18770"/>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1"/>
    </w:p>
    <w:p w14:paraId="1CAF0C30">
      <w:pPr>
        <w:pStyle w:val="20"/>
        <w:tabs>
          <w:tab w:val="right" w:leader="dot" w:pos="8279"/>
        </w:tabs>
        <w:rPr>
          <w:rFonts w:asciiTheme="minorEastAsia" w:hAnsiTheme="minorEastAsia"/>
        </w:rPr>
      </w:pPr>
      <w:r>
        <w:rPr>
          <w:rFonts w:hint="eastAsia" w:asciiTheme="minorEastAsia" w:hAnsiTheme="minorEastAsia"/>
        </w:rPr>
        <w:t>项目概况：</w:t>
      </w:r>
    </w:p>
    <w:p w14:paraId="77D45B21">
      <w:pPr>
        <w:pStyle w:val="20"/>
        <w:tabs>
          <w:tab w:val="right" w:leader="dot" w:pos="8279"/>
        </w:tabs>
        <w:wordWrap w:val="0"/>
        <w:rPr>
          <w:rFonts w:asciiTheme="minorEastAsia" w:hAnsiTheme="minorEastAsia"/>
        </w:rPr>
      </w:pPr>
      <w:r>
        <w:rPr>
          <w:rFonts w:hint="eastAsia" w:asciiTheme="minorEastAsia" w:hAnsiTheme="minorEastAsia"/>
        </w:rPr>
        <w:t>滁州市自然资源勘测规划研究院有限公司OA协同办公管理系统采购项目的潜在供应商应在http://cztdkcy.com/获取采购文件，并于2024年9月</w:t>
      </w:r>
      <w:r>
        <w:rPr>
          <w:rFonts w:hint="eastAsia" w:asciiTheme="minorEastAsia" w:hAnsiTheme="minorEastAsia"/>
          <w:lang w:val="en-US" w:eastAsia="zh-CN"/>
        </w:rPr>
        <w:t>18</w:t>
      </w:r>
      <w:r>
        <w:rPr>
          <w:rFonts w:hint="eastAsia" w:asciiTheme="minorEastAsia" w:hAnsiTheme="minorEastAsia"/>
        </w:rPr>
        <w:t>日</w:t>
      </w:r>
      <w:r>
        <w:rPr>
          <w:rFonts w:hint="eastAsia" w:asciiTheme="minorEastAsia" w:hAnsiTheme="minorEastAsia"/>
          <w:lang w:val="en-US" w:eastAsia="zh-CN"/>
        </w:rPr>
        <w:t>09</w:t>
      </w:r>
      <w:r>
        <w:rPr>
          <w:rFonts w:hint="eastAsia" w:asciiTheme="minorEastAsia" w:hAnsiTheme="minorEastAsia"/>
        </w:rPr>
        <w:t>点00分（北京时间）前提交响应文件。</w:t>
      </w:r>
    </w:p>
    <w:p w14:paraId="3B6D29E9">
      <w:pPr>
        <w:pStyle w:val="3"/>
        <w:spacing w:before="0" w:after="0" w:line="360" w:lineRule="auto"/>
        <w:ind w:firstLine="482" w:firstLineChars="200"/>
        <w:rPr>
          <w:rFonts w:ascii="宋体" w:hAnsi="宋体" w:eastAsia="宋体" w:cs="宋体"/>
          <w:b/>
          <w:sz w:val="24"/>
          <w:szCs w:val="24"/>
        </w:rPr>
      </w:pPr>
      <w:bookmarkStart w:id="2" w:name="_Toc35393798"/>
      <w:bookmarkStart w:id="3" w:name="_Toc28359089"/>
      <w:bookmarkStart w:id="4" w:name="_Toc35393629"/>
      <w:bookmarkStart w:id="5" w:name="_Toc28359012"/>
      <w:bookmarkStart w:id="6" w:name="_Toc6722"/>
      <w:r>
        <w:rPr>
          <w:rFonts w:hint="eastAsia" w:ascii="宋体" w:hAnsi="宋体" w:eastAsia="宋体" w:cs="宋体"/>
          <w:b/>
          <w:sz w:val="24"/>
          <w:szCs w:val="24"/>
        </w:rPr>
        <w:t>一、项目基本情况</w:t>
      </w:r>
      <w:bookmarkEnd w:id="2"/>
      <w:bookmarkEnd w:id="3"/>
      <w:bookmarkEnd w:id="4"/>
      <w:bookmarkEnd w:id="5"/>
      <w:bookmarkEnd w:id="6"/>
    </w:p>
    <w:p w14:paraId="5189CF4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项目名称： 滁州市自然资源勘测规划研究院有限公司OA协同办公管理系统采购项目 </w:t>
      </w:r>
    </w:p>
    <w:p w14:paraId="3CD6121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预算金额：20万元  </w:t>
      </w:r>
    </w:p>
    <w:p w14:paraId="40CD20F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最高限价（如有）：20万元</w:t>
      </w:r>
    </w:p>
    <w:p w14:paraId="6BF8ECD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采购需求：详见采购需求</w:t>
      </w:r>
    </w:p>
    <w:p w14:paraId="6C34F24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合同履行期限：自签订合同之日起2024年11月底前完成项目建设并交付运行。</w:t>
      </w:r>
    </w:p>
    <w:p w14:paraId="427654B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本项目不接受联合体磋商。</w:t>
      </w:r>
      <w:bookmarkStart w:id="7" w:name="_Toc35393630"/>
      <w:bookmarkStart w:id="8" w:name="_Toc11752"/>
      <w:bookmarkStart w:id="9" w:name="_Toc28359013"/>
      <w:bookmarkStart w:id="10" w:name="_Toc35393799"/>
      <w:bookmarkStart w:id="11" w:name="_Toc28359090"/>
    </w:p>
    <w:p w14:paraId="5600D112">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二、申请人的资格要求：</w:t>
      </w:r>
      <w:bookmarkEnd w:id="7"/>
      <w:bookmarkEnd w:id="8"/>
      <w:bookmarkEnd w:id="9"/>
      <w:bookmarkEnd w:id="10"/>
      <w:bookmarkEnd w:id="11"/>
      <w:bookmarkStart w:id="12" w:name="_Toc28359091"/>
      <w:bookmarkStart w:id="13" w:name="_Toc35393800"/>
      <w:bookmarkStart w:id="14" w:name="_Toc2181"/>
      <w:bookmarkStart w:id="15" w:name="_Toc28359014"/>
      <w:bookmarkStart w:id="16" w:name="_Toc35393631"/>
    </w:p>
    <w:p w14:paraId="7DCD2D4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1.具有营业执照；</w:t>
      </w:r>
    </w:p>
    <w:p w14:paraId="0ED604D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2.本项目的特定资格要求：无；</w:t>
      </w:r>
    </w:p>
    <w:p w14:paraId="6300AE7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3.信誉要求：投标人不得存在以下情形：</w:t>
      </w:r>
    </w:p>
    <w:p w14:paraId="088E0DF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①投标人被人民法院列入失信被执行人的；</w:t>
      </w:r>
    </w:p>
    <w:p w14:paraId="73DB57F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②投标人或其法定代表人或拟派项目经理（项目负责人）前三年有行贿犯罪行为的；</w:t>
      </w:r>
    </w:p>
    <w:p w14:paraId="17AB98F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③投标人被市场监督管理部门列入经营异常名录或者严重违法企业名单的；</w:t>
      </w:r>
    </w:p>
    <w:p w14:paraId="2D2D580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④投标人被税务部门列入重大税收违法案件当事人的；</w:t>
      </w:r>
    </w:p>
    <w:p w14:paraId="73C0560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⑤投标人被政府采购监管部门列入政府采购严重违法失信行为记录名单的；</w:t>
      </w:r>
    </w:p>
    <w:p w14:paraId="5CE0CA7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⑥在“信用中国”网站上披露仍在公示期的严重失信行为的。</w:t>
      </w:r>
    </w:p>
    <w:p w14:paraId="6A3509A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5.投标人所属分公司、办事处等分支机构存在第4款信誉要求①-⑥项情形之一的，接受投标人参加本项目。</w:t>
      </w:r>
    </w:p>
    <w:p w14:paraId="551D8E4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备注：第4、5条按照“关于联合惩戒失信行为加强信用查询管理的通知”查询或承诺。</w:t>
      </w:r>
    </w:p>
    <w:p w14:paraId="0AC2528A">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三、获取采购文件</w:t>
      </w:r>
      <w:bookmarkEnd w:id="12"/>
      <w:bookmarkEnd w:id="13"/>
      <w:bookmarkEnd w:id="14"/>
      <w:bookmarkEnd w:id="15"/>
      <w:bookmarkEnd w:id="16"/>
    </w:p>
    <w:p w14:paraId="0EC173D0">
      <w:pPr>
        <w:spacing w:line="360" w:lineRule="auto"/>
        <w:ind w:firstLine="540"/>
        <w:rPr>
          <w:rFonts w:asciiTheme="minorEastAsia" w:hAnsiTheme="minorEastAsia" w:eastAsiaTheme="minorEastAsia" w:cstheme="minorEastAsia"/>
          <w:sz w:val="24"/>
          <w:szCs w:val="24"/>
        </w:rPr>
      </w:pPr>
      <w:bookmarkStart w:id="17" w:name="_Toc28359092"/>
      <w:bookmarkStart w:id="18" w:name="_Toc28359015"/>
      <w:bookmarkStart w:id="19" w:name="_Toc35393801"/>
      <w:bookmarkStart w:id="20" w:name="_Toc35393632"/>
      <w:r>
        <w:rPr>
          <w:rFonts w:hint="eastAsia" w:asciiTheme="minorEastAsia" w:hAnsiTheme="minorEastAsia" w:eastAsiaTheme="minorEastAsia" w:cstheme="minorEastAsia"/>
          <w:sz w:val="24"/>
          <w:szCs w:val="24"/>
        </w:rPr>
        <w:t>时间：2024年9月</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日至 2024 年9月</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日</w:t>
      </w:r>
    </w:p>
    <w:p w14:paraId="2B295670">
      <w:pPr>
        <w:spacing w:line="360" w:lineRule="auto"/>
        <w:ind w:firstLine="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 http://cztdkcy.com/</w:t>
      </w:r>
    </w:p>
    <w:p w14:paraId="5305C794">
      <w:pPr>
        <w:spacing w:line="360" w:lineRule="auto"/>
        <w:ind w:firstLine="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方式：网上下载  </w:t>
      </w:r>
    </w:p>
    <w:p w14:paraId="7795FD72">
      <w:pPr>
        <w:pStyle w:val="3"/>
        <w:spacing w:before="0" w:after="0" w:line="360" w:lineRule="auto"/>
        <w:ind w:firstLine="482" w:firstLineChars="200"/>
        <w:rPr>
          <w:rFonts w:ascii="宋体" w:hAnsi="宋体" w:eastAsia="宋体" w:cs="宋体"/>
          <w:b/>
          <w:sz w:val="24"/>
          <w:szCs w:val="24"/>
        </w:rPr>
      </w:pPr>
      <w:bookmarkStart w:id="21" w:name="_Toc32047"/>
      <w:r>
        <w:rPr>
          <w:rFonts w:hint="eastAsia" w:ascii="宋体" w:hAnsi="宋体" w:eastAsia="宋体" w:cs="宋体"/>
          <w:b/>
          <w:sz w:val="24"/>
          <w:szCs w:val="24"/>
        </w:rPr>
        <w:t>四、响应文件提交</w:t>
      </w:r>
      <w:bookmarkEnd w:id="17"/>
      <w:bookmarkEnd w:id="18"/>
      <w:bookmarkEnd w:id="19"/>
      <w:bookmarkEnd w:id="20"/>
      <w:bookmarkEnd w:id="21"/>
    </w:p>
    <w:p w14:paraId="37D41C4B">
      <w:pPr>
        <w:spacing w:line="360" w:lineRule="auto"/>
        <w:ind w:firstLine="480" w:firstLineChars="200"/>
        <w:rPr>
          <w:rFonts w:ascii="宋体" w:hAnsi="宋体" w:eastAsia="宋体" w:cs="宋体"/>
          <w:bCs/>
          <w:sz w:val="24"/>
          <w:szCs w:val="24"/>
          <w:u w:val="single"/>
        </w:rPr>
      </w:pPr>
      <w:r>
        <w:rPr>
          <w:rFonts w:hint="eastAsia" w:asciiTheme="minorEastAsia" w:hAnsiTheme="minorEastAsia" w:eastAsiaTheme="minorEastAsia" w:cstheme="minorEastAsia"/>
          <w:sz w:val="24"/>
          <w:szCs w:val="24"/>
        </w:rPr>
        <w:t>2024年9月</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bCs/>
          <w:sz w:val="24"/>
          <w:szCs w:val="24"/>
        </w:rPr>
        <w:t xml:space="preserve">日 </w:t>
      </w:r>
      <w:r>
        <w:rPr>
          <w:rFonts w:hint="eastAsia" w:asciiTheme="minorEastAsia" w:hAnsiTheme="minorEastAsia" w:eastAsiaTheme="minorEastAsia" w:cstheme="minorEastAsia"/>
          <w:bCs/>
          <w:sz w:val="24"/>
          <w:szCs w:val="24"/>
          <w:lang w:val="en-US" w:eastAsia="zh-CN"/>
        </w:rPr>
        <w:t>09</w:t>
      </w:r>
      <w:r>
        <w:rPr>
          <w:rFonts w:hint="eastAsia" w:asciiTheme="minorEastAsia" w:hAnsiTheme="minorEastAsia" w:eastAsiaTheme="minorEastAsia" w:cstheme="minorEastAsia"/>
          <w:bCs/>
          <w:sz w:val="24"/>
          <w:szCs w:val="24"/>
        </w:rPr>
        <w:t>点 00 分（北京时间）</w:t>
      </w:r>
    </w:p>
    <w:p w14:paraId="771440DE">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u w:val="single"/>
        </w:rPr>
        <w:t>滁州市自然资源勘测规划研究院有限公司会议室</w:t>
      </w:r>
    </w:p>
    <w:p w14:paraId="25C4B214">
      <w:pPr>
        <w:pStyle w:val="3"/>
        <w:spacing w:before="0" w:after="0" w:line="360" w:lineRule="auto"/>
        <w:ind w:firstLine="482" w:firstLineChars="200"/>
        <w:rPr>
          <w:rFonts w:ascii="宋体" w:hAnsi="宋体" w:eastAsia="宋体" w:cs="宋体"/>
          <w:b/>
          <w:sz w:val="24"/>
          <w:szCs w:val="24"/>
        </w:rPr>
      </w:pPr>
      <w:bookmarkStart w:id="22" w:name="_Toc28359093"/>
      <w:bookmarkStart w:id="23" w:name="_Toc28359016"/>
      <w:bookmarkStart w:id="24" w:name="_Toc35393633"/>
      <w:bookmarkStart w:id="25" w:name="_Toc541"/>
      <w:bookmarkStart w:id="26" w:name="_Toc35393802"/>
      <w:r>
        <w:rPr>
          <w:rFonts w:hint="eastAsia" w:ascii="宋体" w:hAnsi="宋体" w:eastAsia="宋体" w:cs="宋体"/>
          <w:b/>
          <w:sz w:val="24"/>
          <w:szCs w:val="24"/>
        </w:rPr>
        <w:t>五、开启</w:t>
      </w:r>
      <w:bookmarkEnd w:id="22"/>
      <w:bookmarkEnd w:id="23"/>
      <w:bookmarkEnd w:id="24"/>
      <w:bookmarkEnd w:id="25"/>
      <w:bookmarkEnd w:id="26"/>
    </w:p>
    <w:p w14:paraId="476FAE18">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时间：</w:t>
      </w:r>
      <w:r>
        <w:rPr>
          <w:rFonts w:hint="eastAsia" w:asciiTheme="minorEastAsia" w:hAnsiTheme="minorEastAsia" w:eastAsiaTheme="minorEastAsia" w:cstheme="minorEastAsia"/>
          <w:sz w:val="24"/>
          <w:szCs w:val="24"/>
        </w:rPr>
        <w:t>2024年9月</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bCs/>
          <w:sz w:val="24"/>
          <w:szCs w:val="24"/>
        </w:rPr>
        <w:t xml:space="preserve">日 </w:t>
      </w:r>
      <w:r>
        <w:rPr>
          <w:rFonts w:hint="eastAsia" w:asciiTheme="minorEastAsia" w:hAnsiTheme="minorEastAsia" w:eastAsiaTheme="minorEastAsia" w:cstheme="minorEastAsia"/>
          <w:bCs/>
          <w:sz w:val="24"/>
          <w:szCs w:val="24"/>
          <w:lang w:val="en-US" w:eastAsia="zh-CN"/>
        </w:rPr>
        <w:t>09</w:t>
      </w:r>
      <w:r>
        <w:rPr>
          <w:rFonts w:hint="eastAsia" w:asciiTheme="minorEastAsia" w:hAnsiTheme="minorEastAsia" w:eastAsiaTheme="minorEastAsia" w:cstheme="minorEastAsia"/>
          <w:bCs/>
          <w:sz w:val="24"/>
          <w:szCs w:val="24"/>
        </w:rPr>
        <w:t>点 00 分（北京时间）</w:t>
      </w:r>
    </w:p>
    <w:p w14:paraId="7C97DEFE">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u w:val="single"/>
        </w:rPr>
        <w:t>滁州市自然资源勘测规划研究院有限公司会议室</w:t>
      </w:r>
    </w:p>
    <w:p w14:paraId="23E0A346">
      <w:pPr>
        <w:pStyle w:val="3"/>
        <w:spacing w:before="0" w:after="0" w:line="360" w:lineRule="auto"/>
        <w:ind w:firstLine="482" w:firstLineChars="200"/>
        <w:rPr>
          <w:rFonts w:ascii="宋体" w:hAnsi="宋体" w:eastAsia="宋体" w:cs="宋体"/>
          <w:b/>
          <w:sz w:val="24"/>
          <w:szCs w:val="24"/>
        </w:rPr>
      </w:pPr>
      <w:bookmarkStart w:id="27" w:name="_Toc35393634"/>
      <w:bookmarkStart w:id="28" w:name="_Toc35393803"/>
      <w:bookmarkStart w:id="29" w:name="_Toc28359017"/>
      <w:bookmarkStart w:id="30" w:name="_Toc28359094"/>
      <w:bookmarkStart w:id="31" w:name="_Toc14656"/>
      <w:r>
        <w:rPr>
          <w:rFonts w:hint="eastAsia" w:ascii="宋体" w:hAnsi="宋体" w:eastAsia="宋体" w:cs="宋体"/>
          <w:b/>
          <w:sz w:val="24"/>
          <w:szCs w:val="24"/>
        </w:rPr>
        <w:t>六、公告期限</w:t>
      </w:r>
      <w:bookmarkEnd w:id="27"/>
      <w:bookmarkEnd w:id="28"/>
      <w:bookmarkEnd w:id="29"/>
      <w:bookmarkEnd w:id="30"/>
      <w:bookmarkEnd w:id="31"/>
    </w:p>
    <w:p w14:paraId="620653EC">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自本公告发布之日起3个工作日。</w:t>
      </w:r>
    </w:p>
    <w:p w14:paraId="46D9CC7B">
      <w:pPr>
        <w:pStyle w:val="3"/>
        <w:spacing w:before="0" w:after="0" w:line="360" w:lineRule="auto"/>
        <w:ind w:firstLine="482" w:firstLineChars="200"/>
        <w:rPr>
          <w:rFonts w:ascii="宋体" w:hAnsi="宋体" w:eastAsia="宋体" w:cs="宋体"/>
          <w:b/>
          <w:sz w:val="24"/>
          <w:szCs w:val="24"/>
        </w:rPr>
      </w:pPr>
      <w:bookmarkStart w:id="32" w:name="_Toc35393635"/>
      <w:bookmarkStart w:id="33" w:name="_Toc35393804"/>
      <w:bookmarkStart w:id="34" w:name="_Toc13826"/>
      <w:r>
        <w:rPr>
          <w:rFonts w:hint="eastAsia" w:ascii="宋体" w:hAnsi="宋体" w:eastAsia="宋体" w:cs="宋体"/>
          <w:b/>
          <w:sz w:val="24"/>
          <w:szCs w:val="24"/>
        </w:rPr>
        <w:t>七、其他补充事宜</w:t>
      </w:r>
      <w:bookmarkEnd w:id="32"/>
      <w:bookmarkEnd w:id="33"/>
      <w:bookmarkEnd w:id="34"/>
    </w:p>
    <w:p w14:paraId="59F06D94">
      <w:pPr>
        <w:pStyle w:val="3"/>
        <w:spacing w:before="0" w:after="0" w:line="360" w:lineRule="auto"/>
        <w:ind w:firstLine="480" w:firstLineChars="200"/>
        <w:rPr>
          <w:rFonts w:ascii="宋体" w:hAnsi="宋体" w:eastAsia="宋体"/>
          <w:sz w:val="24"/>
          <w:szCs w:val="18"/>
        </w:rPr>
      </w:pPr>
      <w:bookmarkStart w:id="35" w:name="_Toc28359095"/>
      <w:bookmarkStart w:id="36" w:name="_Toc35393805"/>
      <w:bookmarkStart w:id="37" w:name="_Toc15722"/>
      <w:bookmarkStart w:id="38" w:name="_Toc28359018"/>
      <w:bookmarkStart w:id="39" w:name="_Toc35393636"/>
      <w:r>
        <w:rPr>
          <w:rFonts w:hint="eastAsia" w:ascii="宋体" w:hAnsi="宋体" w:eastAsia="宋体"/>
          <w:sz w:val="24"/>
          <w:szCs w:val="18"/>
        </w:rPr>
        <w:t>无</w:t>
      </w:r>
    </w:p>
    <w:p w14:paraId="2C947E32">
      <w:pPr>
        <w:pStyle w:val="3"/>
        <w:spacing w:before="0" w:after="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八、凡对本次采购提出询问，请按以下方式联系。</w:t>
      </w:r>
      <w:bookmarkEnd w:id="35"/>
      <w:bookmarkEnd w:id="36"/>
      <w:bookmarkEnd w:id="37"/>
      <w:bookmarkEnd w:id="38"/>
      <w:bookmarkEnd w:id="39"/>
    </w:p>
    <w:p w14:paraId="43A6EFE3">
      <w:pPr>
        <w:pStyle w:val="3"/>
        <w:spacing w:before="0" w:after="0" w:line="360" w:lineRule="auto"/>
        <w:ind w:firstLine="480" w:firstLineChars="200"/>
        <w:rPr>
          <w:rFonts w:ascii="宋体" w:hAnsi="宋体" w:eastAsia="宋体" w:cs="宋体"/>
          <w:sz w:val="24"/>
          <w:szCs w:val="24"/>
        </w:rPr>
      </w:pPr>
      <w:bookmarkStart w:id="40" w:name="_Toc35393637"/>
      <w:bookmarkStart w:id="41" w:name="_Toc16791"/>
      <w:bookmarkStart w:id="42" w:name="_Toc28359096"/>
      <w:bookmarkStart w:id="43" w:name="_Toc28359019"/>
      <w:bookmarkStart w:id="44" w:name="_Toc35393806"/>
      <w:r>
        <w:rPr>
          <w:rFonts w:hint="eastAsia" w:ascii="宋体" w:hAnsi="宋体" w:eastAsia="宋体" w:cs="宋体"/>
          <w:sz w:val="24"/>
          <w:szCs w:val="24"/>
        </w:rPr>
        <w:t>1.采购人信息</w:t>
      </w:r>
      <w:bookmarkEnd w:id="40"/>
      <w:bookmarkEnd w:id="41"/>
      <w:bookmarkEnd w:id="42"/>
      <w:bookmarkEnd w:id="43"/>
      <w:bookmarkEnd w:id="44"/>
    </w:p>
    <w:p w14:paraId="3DEB3D0E">
      <w:pPr>
        <w:spacing w:line="360" w:lineRule="auto"/>
        <w:ind w:firstLine="435"/>
        <w:rPr>
          <w:rFonts w:ascii="宋体" w:hAnsi="宋体" w:eastAsia="宋体"/>
          <w:sz w:val="24"/>
          <w:szCs w:val="18"/>
        </w:rPr>
      </w:pPr>
      <w:bookmarkStart w:id="45" w:name="_Toc28359097"/>
      <w:bookmarkStart w:id="46" w:name="_Toc28359020"/>
      <w:bookmarkStart w:id="47" w:name="_Toc35393638"/>
      <w:bookmarkStart w:id="48" w:name="_Toc35393807"/>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cs="宋体"/>
          <w:kern w:val="0"/>
          <w:sz w:val="24"/>
          <w:szCs w:val="24"/>
          <w:u w:val="single"/>
        </w:rPr>
        <w:t xml:space="preserve">滁州市自然资源勘测规划研究院有限公司  </w:t>
      </w:r>
      <w:r>
        <w:rPr>
          <w:rFonts w:ascii="宋体" w:hAnsi="宋体" w:eastAsia="宋体"/>
          <w:sz w:val="24"/>
          <w:szCs w:val="18"/>
          <w:u w:val="single"/>
        </w:rPr>
        <w:t xml:space="preserve"> </w:t>
      </w:r>
    </w:p>
    <w:p w14:paraId="1AD1B846">
      <w:pPr>
        <w:spacing w:line="360" w:lineRule="auto"/>
        <w:ind w:firstLine="435"/>
        <w:rPr>
          <w:rFonts w:ascii="仿宋" w:hAnsi="仿宋" w:eastAsia="仿宋"/>
          <w:sz w:val="28"/>
          <w:szCs w:val="2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cs="宋体"/>
          <w:kern w:val="0"/>
          <w:sz w:val="24"/>
          <w:szCs w:val="24"/>
          <w:u w:val="single"/>
        </w:rPr>
        <w:t>滁州市南谯区龙蟠大道109号</w:t>
      </w:r>
      <w:r>
        <w:rPr>
          <w:rFonts w:hint="eastAsia" w:ascii="仿宋" w:hAnsi="仿宋" w:eastAsia="仿宋"/>
          <w:sz w:val="28"/>
          <w:szCs w:val="28"/>
          <w:u w:val="single"/>
        </w:rPr>
        <w:t xml:space="preserve"> </w:t>
      </w:r>
    </w:p>
    <w:p w14:paraId="660A2643">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hint="eastAsia" w:ascii="仿宋" w:hAnsi="仿宋" w:eastAsia="仿宋"/>
          <w:sz w:val="28"/>
          <w:szCs w:val="28"/>
          <w:u w:val="single"/>
        </w:rPr>
        <w:t xml:space="preserve"> </w:t>
      </w:r>
      <w:r>
        <w:rPr>
          <w:rFonts w:hint="eastAsia" w:ascii="宋体" w:hAnsi="宋体" w:eastAsia="宋体" w:cs="宋体"/>
          <w:kern w:val="0"/>
          <w:sz w:val="24"/>
          <w:szCs w:val="24"/>
          <w:u w:val="single"/>
        </w:rPr>
        <w:t xml:space="preserve">薄秀丽  </w:t>
      </w:r>
      <w:r>
        <w:rPr>
          <w:rFonts w:ascii="宋体" w:hAnsi="宋体" w:eastAsia="宋体"/>
          <w:sz w:val="24"/>
          <w:szCs w:val="18"/>
          <w:u w:val="single"/>
        </w:rPr>
        <w:t xml:space="preserve"> </w:t>
      </w:r>
    </w:p>
    <w:p w14:paraId="787A0D09">
      <w:pPr>
        <w:spacing w:line="360" w:lineRule="auto"/>
        <w:ind w:firstLine="435"/>
        <w:rPr>
          <w:rFonts w:ascii="宋体" w:hAnsi="宋体" w:eastAsia="宋体"/>
          <w:sz w:val="24"/>
          <w:szCs w:val="18"/>
          <w:u w:val="single"/>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hint="eastAsia" w:ascii="宋体" w:hAnsi="宋体" w:eastAsia="宋体" w:cs="宋体"/>
          <w:kern w:val="0"/>
          <w:sz w:val="24"/>
          <w:szCs w:val="24"/>
          <w:u w:val="single"/>
        </w:rPr>
        <w:t xml:space="preserve"> 13955015263</w:t>
      </w:r>
      <w:r>
        <w:rPr>
          <w:rFonts w:hint="eastAsia" w:ascii="仿宋" w:hAnsi="仿宋" w:eastAsia="仿宋"/>
          <w:sz w:val="28"/>
          <w:szCs w:val="28"/>
          <w:u w:val="single"/>
        </w:rPr>
        <w:t xml:space="preserve"> </w:t>
      </w:r>
    </w:p>
    <w:p w14:paraId="07332C79">
      <w:pPr>
        <w:pStyle w:val="3"/>
        <w:spacing w:before="0" w:after="0" w:line="360" w:lineRule="auto"/>
        <w:ind w:firstLine="480" w:firstLineChars="200"/>
        <w:rPr>
          <w:rFonts w:ascii="宋体" w:hAnsi="宋体" w:eastAsia="宋体" w:cs="宋体"/>
          <w:sz w:val="24"/>
          <w:szCs w:val="24"/>
        </w:rPr>
      </w:pPr>
      <w:bookmarkStart w:id="49" w:name="_Toc27535"/>
      <w:r>
        <w:rPr>
          <w:rFonts w:hint="eastAsia" w:ascii="宋体" w:hAnsi="宋体" w:eastAsia="宋体" w:cs="宋体"/>
          <w:sz w:val="24"/>
          <w:szCs w:val="24"/>
        </w:rPr>
        <w:t>2.采购代理机构信息</w:t>
      </w:r>
      <w:bookmarkEnd w:id="45"/>
      <w:bookmarkEnd w:id="46"/>
      <w:bookmarkEnd w:id="47"/>
      <w:bookmarkEnd w:id="48"/>
      <w:bookmarkEnd w:id="49"/>
    </w:p>
    <w:p w14:paraId="3F72EF21">
      <w:pPr>
        <w:spacing w:line="360" w:lineRule="auto"/>
        <w:ind w:firstLine="435"/>
        <w:rPr>
          <w:rFonts w:ascii="宋体" w:hAnsi="宋体" w:eastAsia="宋体"/>
          <w:sz w:val="24"/>
          <w:szCs w:val="18"/>
        </w:rPr>
      </w:pPr>
      <w:bookmarkStart w:id="50" w:name="_Toc35393808"/>
      <w:bookmarkStart w:id="51" w:name="_Toc28359098"/>
      <w:bookmarkStart w:id="52" w:name="_Toc28359021"/>
      <w:bookmarkStart w:id="53" w:name="_Toc35393639"/>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hint="eastAsia" w:ascii="宋体" w:hAnsi="宋体" w:eastAsia="宋体" w:cs="宋体"/>
          <w:kern w:val="0"/>
          <w:sz w:val="24"/>
          <w:szCs w:val="24"/>
          <w:u w:val="single"/>
        </w:rPr>
        <w:t xml:space="preserve">合普项目管理咨询集团有限公司 </w:t>
      </w:r>
    </w:p>
    <w:p w14:paraId="69C01E41">
      <w:pPr>
        <w:spacing w:line="360" w:lineRule="auto"/>
        <w:ind w:firstLine="435"/>
        <w:rPr>
          <w:rFonts w:ascii="宋体" w:hAnsi="宋体" w:eastAsia="宋体"/>
          <w:sz w:val="24"/>
          <w:szCs w:val="18"/>
          <w:u w:val="single"/>
        </w:rPr>
      </w:pPr>
      <w:r>
        <w:rPr>
          <w:rFonts w:hint="eastAsia" w:ascii="宋体" w:hAnsi="宋体" w:eastAsia="宋体"/>
          <w:sz w:val="24"/>
          <w:szCs w:val="18"/>
        </w:rPr>
        <w:t>地</w:t>
      </w:r>
      <w:r>
        <w:rPr>
          <w:rFonts w:ascii="宋体" w:hAnsi="宋体" w:eastAsia="宋体"/>
          <w:sz w:val="24"/>
          <w:szCs w:val="18"/>
        </w:rPr>
        <w:t xml:space="preserve">  址：</w:t>
      </w:r>
      <w:r>
        <w:rPr>
          <w:rFonts w:hint="eastAsia" w:ascii="仿宋" w:hAnsi="仿宋" w:eastAsia="仿宋"/>
          <w:sz w:val="28"/>
          <w:szCs w:val="28"/>
          <w:u w:val="single"/>
        </w:rPr>
        <w:t xml:space="preserve"> </w:t>
      </w:r>
      <w:r>
        <w:rPr>
          <w:rFonts w:hint="eastAsia" w:ascii="宋体" w:hAnsi="宋体" w:eastAsia="宋体" w:cs="宋体"/>
          <w:kern w:val="0"/>
          <w:sz w:val="24"/>
          <w:szCs w:val="24"/>
          <w:u w:val="single"/>
        </w:rPr>
        <w:t xml:space="preserve">滁州市南谯区花园东路558号 </w:t>
      </w:r>
    </w:p>
    <w:p w14:paraId="36A0417B">
      <w:pPr>
        <w:spacing w:line="360" w:lineRule="auto"/>
        <w:ind w:firstLine="435"/>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cs="宋体"/>
          <w:kern w:val="0"/>
          <w:sz w:val="24"/>
          <w:szCs w:val="24"/>
          <w:u w:val="single"/>
        </w:rPr>
        <w:t xml:space="preserve"> 唐诗瑶  </w:t>
      </w:r>
      <w:r>
        <w:rPr>
          <w:rFonts w:ascii="宋体" w:hAnsi="宋体" w:eastAsia="宋体"/>
          <w:sz w:val="24"/>
          <w:szCs w:val="18"/>
          <w:u w:val="single"/>
        </w:rPr>
        <w:t xml:space="preserve">    </w:t>
      </w:r>
    </w:p>
    <w:p w14:paraId="67ECE956">
      <w:pPr>
        <w:spacing w:line="360" w:lineRule="auto"/>
        <w:ind w:firstLine="435"/>
        <w:rPr>
          <w:rFonts w:ascii="宋体" w:hAnsi="宋体" w:eastAsia="宋体"/>
          <w:sz w:val="24"/>
          <w:szCs w:val="18"/>
        </w:rPr>
      </w:pPr>
      <w:r>
        <w:rPr>
          <w:rFonts w:hint="eastAsia" w:ascii="宋体" w:hAnsi="宋体" w:eastAsia="宋体"/>
          <w:sz w:val="24"/>
          <w:szCs w:val="18"/>
        </w:rPr>
        <w:t>联系方式：</w:t>
      </w:r>
      <w:r>
        <w:rPr>
          <w:rFonts w:hint="eastAsia" w:ascii="宋体" w:hAnsi="宋体" w:eastAsia="宋体" w:cs="宋体"/>
          <w:kern w:val="0"/>
          <w:sz w:val="24"/>
          <w:szCs w:val="24"/>
          <w:u w:val="single"/>
        </w:rPr>
        <w:t xml:space="preserve">  15855019857 </w:t>
      </w:r>
    </w:p>
    <w:bookmarkEnd w:id="50"/>
    <w:bookmarkEnd w:id="51"/>
    <w:bookmarkEnd w:id="52"/>
    <w:bookmarkEnd w:id="53"/>
    <w:p w14:paraId="6C7694FD">
      <w:pPr>
        <w:spacing w:line="360" w:lineRule="auto"/>
        <w:jc w:val="center"/>
        <w:outlineLvl w:val="0"/>
        <w:rPr>
          <w:rFonts w:asciiTheme="minorEastAsia" w:hAnsiTheme="minorEastAsia" w:eastAsiaTheme="minorEastAsia"/>
          <w:b/>
          <w:sz w:val="28"/>
        </w:rPr>
      </w:pPr>
      <w:bookmarkStart w:id="54" w:name="_Toc31004"/>
    </w:p>
    <w:p w14:paraId="4D234465">
      <w:pPr>
        <w:spacing w:line="360" w:lineRule="auto"/>
        <w:jc w:val="center"/>
        <w:outlineLvl w:val="0"/>
        <w:rPr>
          <w:rFonts w:asciiTheme="minorEastAsia" w:hAnsiTheme="minorEastAsia" w:eastAsiaTheme="minorEastAsia"/>
          <w:b/>
          <w:sz w:val="28"/>
        </w:rPr>
      </w:pPr>
    </w:p>
    <w:p w14:paraId="3C9BB7E2">
      <w:pPr>
        <w:spacing w:line="360" w:lineRule="auto"/>
        <w:jc w:val="center"/>
        <w:outlineLvl w:val="0"/>
        <w:rPr>
          <w:rFonts w:asciiTheme="minorEastAsia" w:hAnsiTheme="minorEastAsia" w:eastAsiaTheme="minorEastAsia"/>
          <w:b/>
          <w:sz w:val="28"/>
        </w:rPr>
      </w:pPr>
    </w:p>
    <w:p w14:paraId="7AA999FA">
      <w:pPr>
        <w:pStyle w:val="27"/>
        <w:ind w:firstLine="562"/>
        <w:rPr>
          <w:rFonts w:asciiTheme="minorEastAsia" w:hAnsiTheme="minorEastAsia" w:eastAsiaTheme="minorEastAsia"/>
          <w:b/>
          <w:sz w:val="28"/>
        </w:rPr>
      </w:pPr>
    </w:p>
    <w:p w14:paraId="5A3E83D6"/>
    <w:p w14:paraId="2280AD16">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54"/>
    </w:p>
    <w:p w14:paraId="7BDA2E50">
      <w:pPr>
        <w:spacing w:line="360" w:lineRule="auto"/>
        <w:jc w:val="center"/>
        <w:outlineLvl w:val="1"/>
        <w:rPr>
          <w:rFonts w:asciiTheme="minorEastAsia" w:hAnsiTheme="minorEastAsia" w:eastAsiaTheme="minorEastAsia"/>
          <w:b/>
          <w:sz w:val="24"/>
        </w:rPr>
      </w:pPr>
      <w:bookmarkStart w:id="55" w:name="_Toc1111"/>
      <w:bookmarkStart w:id="56" w:name="_Toc24907"/>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55"/>
      <w:bookmarkEnd w:id="56"/>
    </w:p>
    <w:p w14:paraId="4B9570C1">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28"/>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14:paraId="7CBC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6E1ADC4">
            <w:pPr>
              <w:pStyle w:val="36"/>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条款号</w:t>
            </w:r>
          </w:p>
        </w:tc>
        <w:tc>
          <w:tcPr>
            <w:tcW w:w="1160" w:type="pct"/>
            <w:vAlign w:val="center"/>
          </w:tcPr>
          <w:p w14:paraId="4070E186">
            <w:pPr>
              <w:pStyle w:val="36"/>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3267" w:type="pct"/>
            <w:vAlign w:val="center"/>
          </w:tcPr>
          <w:p w14:paraId="51374B26">
            <w:pPr>
              <w:pStyle w:val="36"/>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5935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5D5D1BD">
            <w:pPr>
              <w:pStyle w:val="37"/>
            </w:pPr>
            <w:bookmarkStart w:id="57" w:name="OLE_LINK5"/>
            <w:bookmarkStart w:id="58" w:name="OLE_LINK6"/>
            <w:r>
              <w:rPr>
                <w:rFonts w:hint="eastAsia"/>
              </w:rPr>
              <w:t>5</w:t>
            </w:r>
            <w:r>
              <w:t>.</w:t>
            </w:r>
            <w:r>
              <w:rPr>
                <w:rFonts w:hint="eastAsia"/>
              </w:rPr>
              <w:t>2</w:t>
            </w:r>
            <w:bookmarkEnd w:id="57"/>
            <w:bookmarkEnd w:id="58"/>
          </w:p>
        </w:tc>
        <w:tc>
          <w:tcPr>
            <w:tcW w:w="1160" w:type="pct"/>
            <w:vAlign w:val="center"/>
          </w:tcPr>
          <w:p w14:paraId="7D055835">
            <w:pPr>
              <w:pStyle w:val="3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现场考察或标前答疑会</w:t>
            </w:r>
          </w:p>
        </w:tc>
        <w:tc>
          <w:tcPr>
            <w:tcW w:w="3267" w:type="pct"/>
            <w:vAlign w:val="center"/>
          </w:tcPr>
          <w:p w14:paraId="78F526E6">
            <w:pPr>
              <w:spacing w:line="360" w:lineRule="auto"/>
              <w:rPr>
                <w:rFonts w:ascii="宋体" w:hAnsi="宋体" w:eastAsia="宋体"/>
                <w:bCs/>
                <w:sz w:val="24"/>
              </w:rPr>
            </w:pPr>
            <w:r>
              <w:rPr>
                <w:rFonts w:hint="eastAsia" w:ascii="宋体" w:hAnsi="宋体" w:eastAsia="宋体"/>
                <w:bCs/>
                <w:sz w:val="24"/>
                <w:szCs w:val="24"/>
              </w:rPr>
              <w:t>☑</w:t>
            </w:r>
            <w:r>
              <w:rPr>
                <w:rFonts w:hint="eastAsia" w:ascii="宋体" w:hAnsi="宋体" w:eastAsia="宋体"/>
                <w:sz w:val="24"/>
              </w:rPr>
              <w:t>不组织或不召开</w:t>
            </w:r>
          </w:p>
          <w:p w14:paraId="124361F5">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统一组织或统一召开</w:t>
            </w:r>
          </w:p>
          <w:p w14:paraId="65CDF958">
            <w:pPr>
              <w:spacing w:line="360" w:lineRule="auto"/>
              <w:rPr>
                <w:rFonts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日</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时</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分</w:t>
            </w:r>
          </w:p>
          <w:p w14:paraId="394219CA">
            <w:pPr>
              <w:spacing w:line="360" w:lineRule="auto"/>
              <w:rPr>
                <w:rFonts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 xml:space="preserve"> </w:t>
            </w:r>
            <w:r>
              <w:rPr>
                <w:rFonts w:ascii="宋体" w:hAnsi="宋体" w:eastAsia="宋体"/>
                <w:bCs/>
                <w:sz w:val="24"/>
                <w:u w:val="single"/>
              </w:rPr>
              <w:t xml:space="preserve">                      </w:t>
            </w:r>
          </w:p>
          <w:p w14:paraId="5EC77E33">
            <w:pPr>
              <w:spacing w:line="360" w:lineRule="auto"/>
              <w:rPr>
                <w:rFonts w:ascii="宋体" w:hAnsi="宋体" w:eastAsia="宋体"/>
                <w:bCs/>
                <w:sz w:val="24"/>
                <w:u w:val="single"/>
              </w:rPr>
            </w:pPr>
            <w:r>
              <w:rPr>
                <w:rFonts w:hint="eastAsia" w:ascii="宋体" w:hAnsi="宋体" w:eastAsia="宋体"/>
                <w:bCs/>
                <w:sz w:val="24"/>
              </w:rPr>
              <w:t>联系人及联系电话：</w:t>
            </w:r>
            <w:r>
              <w:rPr>
                <w:rFonts w:hint="eastAsia" w:ascii="宋体" w:hAnsi="宋体" w:eastAsia="宋体"/>
                <w:bCs/>
                <w:sz w:val="24"/>
                <w:u w:val="single"/>
              </w:rPr>
              <w:t xml:space="preserve"> </w:t>
            </w:r>
            <w:r>
              <w:rPr>
                <w:rFonts w:ascii="宋体" w:hAnsi="宋体" w:eastAsia="宋体"/>
                <w:bCs/>
                <w:sz w:val="24"/>
                <w:u w:val="single"/>
              </w:rPr>
              <w:t xml:space="preserve">          </w:t>
            </w:r>
          </w:p>
          <w:p w14:paraId="3680CF18">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注：如供应商未参加采购人统一组织的现场考察或采购人统一召开的标前答疑会，视同放弃现场考察或标前答疑会，由此引起的一切责任由供应商自行承担。</w:t>
            </w:r>
          </w:p>
        </w:tc>
      </w:tr>
      <w:tr w14:paraId="5520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E08DE12">
            <w:pPr>
              <w:pStyle w:val="37"/>
            </w:pPr>
            <w:r>
              <w:rPr>
                <w:rFonts w:hint="eastAsia"/>
              </w:rPr>
              <w:t>6</w:t>
            </w:r>
            <w:r>
              <w:t>.1</w:t>
            </w:r>
          </w:p>
        </w:tc>
        <w:tc>
          <w:tcPr>
            <w:tcW w:w="1160" w:type="pct"/>
            <w:vAlign w:val="center"/>
          </w:tcPr>
          <w:p w14:paraId="67CEF668">
            <w:pPr>
              <w:pStyle w:val="3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网上询问截止时间</w:t>
            </w:r>
          </w:p>
        </w:tc>
        <w:tc>
          <w:tcPr>
            <w:tcW w:w="3267" w:type="pct"/>
            <w:vAlign w:val="center"/>
          </w:tcPr>
          <w:p w14:paraId="46352570">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2024</w:t>
            </w:r>
            <w:r>
              <w:rPr>
                <w:rFonts w:ascii="宋体" w:hAnsi="宋体" w:eastAsia="宋体"/>
                <w:b w:val="0"/>
                <w:sz w:val="24"/>
                <w:u w:val="single"/>
              </w:rPr>
              <w:t xml:space="preserve"> </w:t>
            </w:r>
            <w:r>
              <w:rPr>
                <w:rFonts w:ascii="宋体" w:hAnsi="宋体" w:eastAsia="宋体"/>
                <w:b w:val="0"/>
                <w:sz w:val="24"/>
              </w:rPr>
              <w:t>年</w:t>
            </w:r>
            <w:r>
              <w:rPr>
                <w:rFonts w:ascii="宋体" w:hAnsi="宋体" w:eastAsia="宋体"/>
                <w:b w:val="0"/>
                <w:sz w:val="24"/>
                <w:u w:val="single"/>
              </w:rPr>
              <w:t xml:space="preserve"> </w:t>
            </w:r>
            <w:r>
              <w:rPr>
                <w:rFonts w:hint="eastAsia" w:ascii="宋体" w:hAnsi="宋体" w:eastAsia="宋体"/>
                <w:b w:val="0"/>
                <w:sz w:val="24"/>
                <w:u w:val="single"/>
              </w:rPr>
              <w:t>0</w:t>
            </w:r>
            <w:r>
              <w:rPr>
                <w:rFonts w:hint="eastAsia" w:ascii="宋体" w:hAnsi="宋体" w:eastAsia="宋体"/>
                <w:b w:val="0"/>
                <w:sz w:val="24"/>
                <w:u w:val="single"/>
                <w:lang w:val="en-US" w:eastAsia="zh-CN"/>
              </w:rPr>
              <w:t>9</w:t>
            </w:r>
            <w:r>
              <w:rPr>
                <w:rFonts w:ascii="宋体" w:hAnsi="宋体" w:eastAsia="宋体"/>
                <w:b w:val="0"/>
                <w:sz w:val="24"/>
              </w:rPr>
              <w:t>月</w:t>
            </w:r>
            <w:r>
              <w:rPr>
                <w:rFonts w:ascii="宋体" w:hAnsi="宋体" w:eastAsia="宋体"/>
                <w:b w:val="0"/>
                <w:sz w:val="24"/>
                <w:u w:val="single"/>
              </w:rPr>
              <w:t xml:space="preserve"> </w:t>
            </w:r>
            <w:r>
              <w:rPr>
                <w:rFonts w:hint="eastAsia" w:ascii="宋体" w:hAnsi="宋体" w:eastAsia="宋体"/>
                <w:b w:val="0"/>
                <w:sz w:val="24"/>
                <w:u w:val="single"/>
                <w:lang w:val="en-US" w:eastAsia="zh-CN"/>
              </w:rPr>
              <w:t>10</w:t>
            </w:r>
            <w:r>
              <w:rPr>
                <w:rFonts w:hint="eastAsia" w:ascii="宋体" w:hAnsi="宋体" w:eastAsia="宋体"/>
                <w:b w:val="0"/>
                <w:sz w:val="24"/>
                <w:u w:val="single"/>
              </w:rPr>
              <w:t xml:space="preserve"> </w:t>
            </w:r>
            <w:r>
              <w:rPr>
                <w:rFonts w:ascii="宋体" w:hAnsi="宋体" w:eastAsia="宋体"/>
                <w:b w:val="0"/>
                <w:sz w:val="24"/>
              </w:rPr>
              <w:t>日</w:t>
            </w:r>
            <w:r>
              <w:rPr>
                <w:rFonts w:ascii="宋体" w:hAnsi="宋体" w:eastAsia="宋体"/>
                <w:b w:val="0"/>
                <w:sz w:val="24"/>
                <w:u w:val="single"/>
              </w:rPr>
              <w:t xml:space="preserve"> </w:t>
            </w:r>
            <w:r>
              <w:rPr>
                <w:rFonts w:hint="eastAsia" w:ascii="宋体" w:hAnsi="宋体" w:eastAsia="宋体"/>
                <w:b w:val="0"/>
                <w:sz w:val="24"/>
                <w:u w:val="single"/>
              </w:rPr>
              <w:t>17</w:t>
            </w:r>
            <w:r>
              <w:rPr>
                <w:rFonts w:ascii="宋体" w:hAnsi="宋体" w:eastAsia="宋体"/>
                <w:b w:val="0"/>
                <w:sz w:val="24"/>
                <w:u w:val="single"/>
              </w:rPr>
              <w:t xml:space="preserve"> </w:t>
            </w:r>
            <w:r>
              <w:rPr>
                <w:rFonts w:ascii="宋体" w:hAnsi="宋体" w:eastAsia="宋体"/>
                <w:b w:val="0"/>
                <w:sz w:val="24"/>
              </w:rPr>
              <w:t>时</w:t>
            </w:r>
            <w:r>
              <w:rPr>
                <w:rFonts w:ascii="宋体" w:hAnsi="宋体" w:eastAsia="宋体"/>
                <w:b w:val="0"/>
                <w:sz w:val="24"/>
                <w:u w:val="single"/>
              </w:rPr>
              <w:t xml:space="preserve"> </w:t>
            </w:r>
            <w:r>
              <w:rPr>
                <w:rFonts w:hint="eastAsia" w:ascii="宋体" w:hAnsi="宋体" w:eastAsia="宋体"/>
                <w:b w:val="0"/>
                <w:sz w:val="24"/>
                <w:u w:val="single"/>
              </w:rPr>
              <w:t>00</w:t>
            </w:r>
            <w:r>
              <w:rPr>
                <w:rFonts w:ascii="宋体" w:hAnsi="宋体" w:eastAsia="宋体"/>
                <w:b w:val="0"/>
                <w:sz w:val="24"/>
                <w:u w:val="single"/>
              </w:rPr>
              <w:t xml:space="preserve"> </w:t>
            </w:r>
            <w:r>
              <w:rPr>
                <w:rFonts w:hint="eastAsia" w:ascii="宋体" w:hAnsi="宋体" w:eastAsia="宋体"/>
                <w:b w:val="0"/>
                <w:sz w:val="24"/>
              </w:rPr>
              <w:t>分</w:t>
            </w:r>
          </w:p>
        </w:tc>
      </w:tr>
      <w:tr w14:paraId="1B1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2" w:type="pct"/>
            <w:vAlign w:val="center"/>
          </w:tcPr>
          <w:p w14:paraId="368D3FFA">
            <w:pPr>
              <w:pStyle w:val="37"/>
            </w:pPr>
            <w:r>
              <w:rPr>
                <w:rFonts w:hint="eastAsia"/>
              </w:rPr>
              <w:t>7.1</w:t>
            </w:r>
          </w:p>
        </w:tc>
        <w:tc>
          <w:tcPr>
            <w:tcW w:w="1160" w:type="pct"/>
            <w:vAlign w:val="center"/>
          </w:tcPr>
          <w:p w14:paraId="725EEF8B">
            <w:pPr>
              <w:pStyle w:val="3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包别划分</w:t>
            </w:r>
          </w:p>
        </w:tc>
        <w:tc>
          <w:tcPr>
            <w:tcW w:w="3267" w:type="pct"/>
            <w:vAlign w:val="center"/>
          </w:tcPr>
          <w:p w14:paraId="6486E3DB">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  个包</w:t>
            </w:r>
          </w:p>
          <w:p w14:paraId="7C955090">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供应商参加多个包磋商的成交</w:t>
            </w:r>
            <w:r>
              <w:rPr>
                <w:rFonts w:ascii="宋体" w:hAnsi="宋体" w:eastAsia="宋体"/>
                <w:b w:val="0"/>
                <w:bCs w:val="0"/>
                <w:sz w:val="24"/>
                <w:szCs w:val="24"/>
              </w:rPr>
              <w:t>包</w:t>
            </w:r>
            <w:r>
              <w:rPr>
                <w:rFonts w:hint="eastAsia" w:ascii="宋体" w:hAnsi="宋体" w:eastAsia="宋体"/>
                <w:b w:val="0"/>
                <w:bCs w:val="0"/>
                <w:sz w:val="24"/>
                <w:szCs w:val="24"/>
              </w:rPr>
              <w:t>数规定：</w:t>
            </w:r>
            <w:r>
              <w:rPr>
                <w:rFonts w:hint="eastAsia" w:ascii="宋体" w:hAnsi="宋体" w:eastAsia="宋体"/>
                <w:b w:val="0"/>
                <w:bCs w:val="0"/>
                <w:sz w:val="24"/>
                <w:szCs w:val="18"/>
                <w:u w:val="single"/>
              </w:rPr>
              <w:t xml:space="preserve"> </w:t>
            </w:r>
            <w:r>
              <w:rPr>
                <w:rFonts w:ascii="宋体" w:hAnsi="宋体" w:eastAsia="宋体"/>
                <w:b w:val="0"/>
                <w:bCs w:val="0"/>
                <w:sz w:val="24"/>
                <w:szCs w:val="18"/>
                <w:u w:val="single"/>
              </w:rPr>
              <w:t xml:space="preserve">             </w:t>
            </w:r>
          </w:p>
        </w:tc>
      </w:tr>
      <w:tr w14:paraId="5B0E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2" w:type="pct"/>
            <w:vAlign w:val="center"/>
          </w:tcPr>
          <w:p w14:paraId="0EAACBFA">
            <w:pPr>
              <w:pStyle w:val="37"/>
            </w:pPr>
            <w:r>
              <w:rPr>
                <w:rFonts w:hint="eastAsia"/>
              </w:rPr>
              <w:t>10.1</w:t>
            </w:r>
          </w:p>
        </w:tc>
        <w:tc>
          <w:tcPr>
            <w:tcW w:w="1160" w:type="pct"/>
            <w:vAlign w:val="center"/>
          </w:tcPr>
          <w:p w14:paraId="18CBBAB6">
            <w:pPr>
              <w:pStyle w:val="3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磋商保证金</w:t>
            </w:r>
          </w:p>
        </w:tc>
        <w:tc>
          <w:tcPr>
            <w:tcW w:w="3267" w:type="pct"/>
            <w:vAlign w:val="center"/>
          </w:tcPr>
          <w:p w14:paraId="52ED0413">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不收取</w:t>
            </w:r>
          </w:p>
        </w:tc>
      </w:tr>
      <w:tr w14:paraId="4DE3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89ED4B7">
            <w:pPr>
              <w:pStyle w:val="37"/>
            </w:pPr>
            <w:r>
              <w:rPr>
                <w:rFonts w:hint="eastAsia"/>
              </w:rPr>
              <w:t>11</w:t>
            </w:r>
            <w:r>
              <w:t>.1</w:t>
            </w:r>
          </w:p>
        </w:tc>
        <w:tc>
          <w:tcPr>
            <w:tcW w:w="1160" w:type="pct"/>
            <w:vAlign w:val="center"/>
          </w:tcPr>
          <w:p w14:paraId="1478A904">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磋商有效期</w:t>
            </w:r>
          </w:p>
        </w:tc>
        <w:tc>
          <w:tcPr>
            <w:tcW w:w="3267" w:type="pct"/>
            <w:vAlign w:val="center"/>
          </w:tcPr>
          <w:p w14:paraId="6D90957F">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90 </w:t>
            </w:r>
            <w:r>
              <w:rPr>
                <w:rFonts w:hint="eastAsia" w:ascii="宋体" w:hAnsi="宋体" w:eastAsia="宋体"/>
                <w:b w:val="0"/>
                <w:sz w:val="24"/>
              </w:rPr>
              <w:t>日历日</w:t>
            </w:r>
          </w:p>
        </w:tc>
      </w:tr>
      <w:tr w14:paraId="2844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2842F64">
            <w:pPr>
              <w:pStyle w:val="37"/>
            </w:pPr>
            <w:r>
              <w:rPr>
                <w:rFonts w:hint="eastAsia"/>
              </w:rPr>
              <w:t>12</w:t>
            </w:r>
            <w:r>
              <w:t>.</w:t>
            </w:r>
            <w:r>
              <w:rPr>
                <w:rFonts w:hint="eastAsia"/>
              </w:rPr>
              <w:t>3</w:t>
            </w:r>
          </w:p>
        </w:tc>
        <w:tc>
          <w:tcPr>
            <w:tcW w:w="2032" w:type="dxa"/>
            <w:vAlign w:val="center"/>
          </w:tcPr>
          <w:p w14:paraId="5BE6E6D2">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响应文件份数及要求</w:t>
            </w:r>
          </w:p>
        </w:tc>
        <w:tc>
          <w:tcPr>
            <w:tcW w:w="5722" w:type="dxa"/>
            <w:vAlign w:val="center"/>
          </w:tcPr>
          <w:p w14:paraId="25E7D79B">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响应文件一式四份，一正三副，提交后不退还。</w:t>
            </w:r>
          </w:p>
          <w:p w14:paraId="714A5A39">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要求：1、投标文件须按格式文件要求签字或盖章（签章）,否则经评标委员会一致认定且经过招标人批准后, 按照无效投标处理。</w:t>
            </w:r>
          </w:p>
          <w:p w14:paraId="7257E153">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投标文件的正本和副本应采用左侧装订，不得采用活页夹的可随时拆换的方式装订，不得有零散页。投标文件应按照“投标文件格式”的目录次序分别装订，并按资信证明文件、技术标、商务标分别密封。资信证明文件正副本密封于资信证明文件袋内，技术标正副本密封于技标文件袋内，商务标正副本密封于商务标文件袋内，否则其投标文件将被拒收。</w:t>
            </w:r>
          </w:p>
        </w:tc>
      </w:tr>
      <w:tr w14:paraId="0AC4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437B3FF">
            <w:pPr>
              <w:pStyle w:val="37"/>
            </w:pPr>
            <w:r>
              <w:rPr>
                <w:rFonts w:hint="eastAsia"/>
              </w:rPr>
              <w:t>14.2</w:t>
            </w:r>
          </w:p>
        </w:tc>
        <w:tc>
          <w:tcPr>
            <w:tcW w:w="1160" w:type="pct"/>
            <w:vAlign w:val="center"/>
          </w:tcPr>
          <w:p w14:paraId="5F95DAD9">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评审方法</w:t>
            </w:r>
          </w:p>
        </w:tc>
        <w:tc>
          <w:tcPr>
            <w:tcW w:w="3267" w:type="pct"/>
            <w:vAlign w:val="center"/>
          </w:tcPr>
          <w:p w14:paraId="1309EDB9">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综合评分法</w:t>
            </w:r>
          </w:p>
        </w:tc>
      </w:tr>
      <w:tr w14:paraId="5F8E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restart"/>
            <w:vAlign w:val="center"/>
          </w:tcPr>
          <w:p w14:paraId="226A098A">
            <w:pPr>
              <w:pStyle w:val="37"/>
            </w:pPr>
            <w:r>
              <w:rPr>
                <w:rFonts w:hint="eastAsia"/>
              </w:rPr>
              <w:t>19</w:t>
            </w:r>
            <w:r>
              <w:t>.</w:t>
            </w:r>
            <w:r>
              <w:rPr>
                <w:rFonts w:hint="eastAsia"/>
              </w:rPr>
              <w:t>1</w:t>
            </w:r>
          </w:p>
        </w:tc>
        <w:tc>
          <w:tcPr>
            <w:tcW w:w="1160" w:type="pct"/>
            <w:vMerge w:val="restart"/>
            <w:vAlign w:val="center"/>
          </w:tcPr>
          <w:p w14:paraId="1EBA734C">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确定成交候选供应商和成交供应商</w:t>
            </w:r>
          </w:p>
        </w:tc>
        <w:tc>
          <w:tcPr>
            <w:tcW w:w="3267" w:type="pct"/>
            <w:vAlign w:val="center"/>
          </w:tcPr>
          <w:p w14:paraId="3DEA4986">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磋商小组推荐成交</w:t>
            </w:r>
            <w:r>
              <w:rPr>
                <w:rFonts w:ascii="宋体" w:hAnsi="宋体" w:eastAsia="宋体"/>
                <w:b w:val="0"/>
                <w:sz w:val="24"/>
              </w:rPr>
              <w:t>候选</w:t>
            </w:r>
            <w:r>
              <w:rPr>
                <w:rFonts w:hint="eastAsia" w:ascii="宋体" w:hAnsi="宋体" w:eastAsia="宋体"/>
                <w:b w:val="0"/>
                <w:sz w:val="24"/>
              </w:rPr>
              <w:t>供应商的</w:t>
            </w:r>
            <w:r>
              <w:rPr>
                <w:rFonts w:ascii="宋体" w:hAnsi="宋体" w:eastAsia="宋体"/>
                <w:b w:val="0"/>
                <w:sz w:val="24"/>
              </w:rPr>
              <w:t>数</w:t>
            </w:r>
            <w:r>
              <w:rPr>
                <w:rFonts w:hint="eastAsia" w:ascii="宋体" w:hAnsi="宋体" w:eastAsia="宋体"/>
                <w:b w:val="0"/>
                <w:sz w:val="24"/>
              </w:rPr>
              <w:t>量：1家</w:t>
            </w:r>
          </w:p>
          <w:p w14:paraId="1C0B6DC4">
            <w:pPr>
              <w:pStyle w:val="36"/>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注：法律、法规另有规定的，从其规定</w:t>
            </w:r>
          </w:p>
        </w:tc>
      </w:tr>
      <w:tr w14:paraId="3ED4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1A5981D7">
            <w:pPr>
              <w:pStyle w:val="37"/>
            </w:pPr>
          </w:p>
        </w:tc>
        <w:tc>
          <w:tcPr>
            <w:tcW w:w="1160" w:type="pct"/>
            <w:vMerge w:val="continue"/>
            <w:vAlign w:val="center"/>
          </w:tcPr>
          <w:p w14:paraId="31C010F2">
            <w:pPr>
              <w:pStyle w:val="36"/>
              <w:widowControl w:val="0"/>
              <w:spacing w:before="0" w:beforeAutospacing="0" w:after="0" w:afterAutospacing="0" w:line="360" w:lineRule="auto"/>
              <w:jc w:val="both"/>
              <w:rPr>
                <w:rFonts w:ascii="宋体" w:hAnsi="宋体" w:eastAsia="宋体"/>
                <w:b w:val="0"/>
                <w:sz w:val="24"/>
              </w:rPr>
            </w:pPr>
          </w:p>
        </w:tc>
        <w:tc>
          <w:tcPr>
            <w:tcW w:w="3267" w:type="pct"/>
            <w:vAlign w:val="center"/>
          </w:tcPr>
          <w:p w14:paraId="0696A9DF">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确定成交供应商：</w:t>
            </w:r>
          </w:p>
          <w:p w14:paraId="7367A287">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sym w:font="Wingdings" w:char="00FE"/>
            </w:r>
            <w:r>
              <w:rPr>
                <w:rFonts w:hint="eastAsia" w:ascii="宋体" w:hAnsi="宋体" w:eastAsia="宋体"/>
                <w:b w:val="0"/>
                <w:sz w:val="24"/>
              </w:rPr>
              <w:t xml:space="preserve">采购人委托磋商小组确定 </w:t>
            </w:r>
            <w:r>
              <w:rPr>
                <w:rFonts w:ascii="宋体" w:hAnsi="宋体" w:eastAsia="宋体"/>
                <w:b w:val="0"/>
                <w:sz w:val="24"/>
              </w:rPr>
              <w:t xml:space="preserve">   </w:t>
            </w:r>
            <w:r>
              <w:rPr>
                <w:rFonts w:hint="eastAsia" w:ascii="宋体" w:hAnsi="宋体" w:eastAsia="宋体"/>
                <w:b w:val="0"/>
                <w:sz w:val="24"/>
              </w:rPr>
              <w:t xml:space="preserve"> □采购人确定</w:t>
            </w:r>
          </w:p>
        </w:tc>
      </w:tr>
      <w:tr w14:paraId="679E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C037211">
            <w:pPr>
              <w:pStyle w:val="37"/>
            </w:pPr>
            <w:r>
              <w:rPr>
                <w:rFonts w:hint="eastAsia"/>
              </w:rPr>
              <w:t>23</w:t>
            </w:r>
            <w:r>
              <w:t>.1</w:t>
            </w:r>
          </w:p>
        </w:tc>
        <w:tc>
          <w:tcPr>
            <w:tcW w:w="1160" w:type="pct"/>
            <w:vAlign w:val="center"/>
          </w:tcPr>
          <w:p w14:paraId="20EBA584">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成交通知书发出的形式</w:t>
            </w:r>
          </w:p>
        </w:tc>
        <w:tc>
          <w:tcPr>
            <w:tcW w:w="3267" w:type="pct"/>
            <w:vAlign w:val="center"/>
          </w:tcPr>
          <w:p w14:paraId="510DB8F4">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 xml:space="preserve">☑书面 </w:t>
            </w:r>
            <w:r>
              <w:rPr>
                <w:rFonts w:ascii="宋体" w:hAnsi="宋体" w:eastAsia="宋体"/>
                <w:b w:val="0"/>
                <w:sz w:val="24"/>
              </w:rPr>
              <w:t xml:space="preserve">    </w:t>
            </w:r>
            <w:r>
              <w:rPr>
                <w:rFonts w:hint="eastAsia" w:ascii="宋体" w:hAnsi="宋体" w:eastAsia="宋体"/>
                <w:b w:val="0"/>
                <w:bCs w:val="0"/>
                <w:sz w:val="24"/>
                <w:szCs w:val="24"/>
              </w:rPr>
              <w:sym w:font="Wingdings" w:char="00A8"/>
            </w:r>
            <w:r>
              <w:rPr>
                <w:rFonts w:hint="eastAsia" w:ascii="宋体" w:hAnsi="宋体" w:eastAsia="宋体"/>
                <w:b w:val="0"/>
                <w:sz w:val="24"/>
              </w:rPr>
              <w:t>数据电文</w:t>
            </w:r>
          </w:p>
        </w:tc>
      </w:tr>
      <w:tr w14:paraId="1721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DD24CC8">
            <w:pPr>
              <w:pStyle w:val="37"/>
            </w:pPr>
            <w:r>
              <w:rPr>
                <w:rFonts w:hint="eastAsia"/>
              </w:rPr>
              <w:t>24</w:t>
            </w:r>
            <w:r>
              <w:t>.1</w:t>
            </w:r>
          </w:p>
        </w:tc>
        <w:tc>
          <w:tcPr>
            <w:tcW w:w="1160" w:type="pct"/>
            <w:vAlign w:val="center"/>
          </w:tcPr>
          <w:p w14:paraId="774CC521">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告知磋商结果的形式</w:t>
            </w:r>
          </w:p>
        </w:tc>
        <w:tc>
          <w:tcPr>
            <w:tcW w:w="3267" w:type="pct"/>
            <w:vAlign w:val="center"/>
          </w:tcPr>
          <w:p w14:paraId="1BA10B82">
            <w:pPr>
              <w:pStyle w:val="36"/>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sym w:font="Wingdings" w:char="00A8"/>
            </w:r>
            <w:r>
              <w:rPr>
                <w:rFonts w:hint="eastAsia" w:ascii="宋体" w:hAnsi="宋体" w:eastAsia="宋体"/>
                <w:b w:val="0"/>
                <w:bCs w:val="0"/>
                <w:sz w:val="24"/>
                <w:szCs w:val="24"/>
              </w:rPr>
              <w:t>供应商自行登录电子</w:t>
            </w:r>
            <w:r>
              <w:rPr>
                <w:rFonts w:hint="eastAsia" w:ascii="宋体" w:hAnsi="宋体" w:eastAsia="宋体" w:cs="宋体"/>
                <w:b w:val="0"/>
                <w:bCs w:val="0"/>
                <w:sz w:val="24"/>
                <w:szCs w:val="24"/>
              </w:rPr>
              <w:t>交易</w:t>
            </w:r>
            <w:r>
              <w:rPr>
                <w:rFonts w:hint="eastAsia" w:ascii="宋体" w:hAnsi="宋体" w:eastAsia="宋体"/>
                <w:b w:val="0"/>
                <w:bCs w:val="0"/>
                <w:sz w:val="24"/>
                <w:szCs w:val="24"/>
              </w:rPr>
              <w:t>系统查看</w:t>
            </w:r>
          </w:p>
          <w:p w14:paraId="65096F1F">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☑磋商现场告知</w:t>
            </w:r>
          </w:p>
        </w:tc>
      </w:tr>
      <w:tr w14:paraId="3651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9BD85A7">
            <w:pPr>
              <w:pStyle w:val="37"/>
            </w:pPr>
            <w:r>
              <w:rPr>
                <w:rFonts w:hint="eastAsia"/>
              </w:rPr>
              <w:t>25</w:t>
            </w:r>
            <w:r>
              <w:t>.1</w:t>
            </w:r>
          </w:p>
        </w:tc>
        <w:tc>
          <w:tcPr>
            <w:tcW w:w="1160" w:type="pct"/>
            <w:vAlign w:val="center"/>
          </w:tcPr>
          <w:p w14:paraId="59B538A9">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3267" w:type="pct"/>
          </w:tcPr>
          <w:p w14:paraId="7C14A659">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46C53B86">
            <w:pPr>
              <w:spacing w:line="360" w:lineRule="auto"/>
              <w:rPr>
                <w:rFonts w:ascii="宋体" w:hAnsi="宋体" w:eastAsia="宋体"/>
                <w:bCs/>
                <w:kern w:val="0"/>
                <w:sz w:val="24"/>
                <w:szCs w:val="28"/>
              </w:rPr>
            </w:pPr>
            <w:r>
              <w:rPr>
                <w:rFonts w:hint="eastAsia" w:ascii="宋体" w:hAnsi="宋体" w:eastAsia="宋体"/>
                <w:bCs/>
                <w:kern w:val="0"/>
                <w:sz w:val="24"/>
                <w:szCs w:val="28"/>
              </w:rPr>
              <w:t>☑免收</w:t>
            </w:r>
          </w:p>
          <w:p w14:paraId="5CDC916E">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ascii="宋体" w:hAnsi="宋体" w:eastAsia="宋体"/>
                <w:bCs/>
                <w:kern w:val="0"/>
                <w:sz w:val="24"/>
                <w:szCs w:val="28"/>
              </w:rPr>
              <w:t>%</w:t>
            </w:r>
          </w:p>
          <w:p w14:paraId="4F2F9945">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4DAB32B4">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4603CC4D">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3633D17E">
            <w:pPr>
              <w:spacing w:line="360" w:lineRule="auto"/>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 xml:space="preserve">              </w:t>
            </w:r>
          </w:p>
          <w:p w14:paraId="13BE86FF">
            <w:pPr>
              <w:spacing w:line="360" w:lineRule="auto"/>
              <w:rPr>
                <w:rFonts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w:t>
            </w:r>
          </w:p>
          <w:p w14:paraId="6202CA09">
            <w:pPr>
              <w:spacing w:line="360" w:lineRule="auto"/>
              <w:rPr>
                <w:rFonts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w:t>
            </w:r>
          </w:p>
          <w:p w14:paraId="62FF1E68">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0485D18E">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4F5E9BB2">
            <w:pPr>
              <w:pStyle w:val="36"/>
              <w:widowControl w:val="0"/>
              <w:spacing w:before="0" w:beforeAutospacing="0" w:after="0" w:afterAutospacing="0" w:line="360" w:lineRule="auto"/>
              <w:jc w:val="both"/>
              <w:rPr>
                <w:rFonts w:ascii="宋体" w:hAnsi="宋体" w:eastAsia="宋体"/>
                <w:sz w:val="24"/>
              </w:rPr>
            </w:pPr>
            <w:r>
              <w:rPr>
                <w:rFonts w:hint="eastAsia" w:ascii="宋体" w:hAnsi="宋体" w:eastAsia="宋体"/>
                <w:bCs w:val="0"/>
                <w:sz w:val="24"/>
                <w:szCs w:val="24"/>
              </w:rPr>
              <w:t>（2）以担保函、保证保险形式缴纳履约保证金的，受益人和收取单位须为采购人。</w:t>
            </w:r>
          </w:p>
        </w:tc>
      </w:tr>
      <w:tr w14:paraId="72D0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CABB918">
            <w:pPr>
              <w:pStyle w:val="37"/>
            </w:pPr>
            <w:r>
              <w:rPr>
                <w:rFonts w:hint="eastAsia"/>
              </w:rPr>
              <w:t>26</w:t>
            </w:r>
            <w:r>
              <w:t>.1</w:t>
            </w:r>
          </w:p>
        </w:tc>
        <w:tc>
          <w:tcPr>
            <w:tcW w:w="1160" w:type="pct"/>
            <w:vAlign w:val="center"/>
          </w:tcPr>
          <w:p w14:paraId="5834859E">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代理费用</w:t>
            </w:r>
          </w:p>
        </w:tc>
        <w:tc>
          <w:tcPr>
            <w:tcW w:w="3267" w:type="pct"/>
            <w:vAlign w:val="center"/>
          </w:tcPr>
          <w:p w14:paraId="36C0D63D">
            <w:pPr>
              <w:spacing w:before="39" w:line="360" w:lineRule="auto"/>
              <w:rPr>
                <w:rFonts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hint="eastAsia" w:ascii="宋体" w:hAnsi="宋体" w:eastAsia="宋体"/>
                <w:bCs/>
                <w:kern w:val="0"/>
                <w:sz w:val="24"/>
                <w:szCs w:val="28"/>
              </w:rPr>
              <w:t>成交</w:t>
            </w:r>
            <w:r>
              <w:rPr>
                <w:rFonts w:hint="eastAsia" w:ascii="宋体" w:hAnsi="宋体" w:eastAsia="宋体" w:cs="宋体"/>
                <w:spacing w:val="14"/>
                <w:sz w:val="24"/>
                <w:szCs w:val="24"/>
              </w:rPr>
              <w:t>供应商</w:t>
            </w:r>
          </w:p>
          <w:p w14:paraId="59B5B601">
            <w:pPr>
              <w:spacing w:before="24" w:line="360" w:lineRule="auto"/>
              <w:rPr>
                <w:rFonts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ascii="宋体" w:hAnsi="宋体" w:eastAsia="宋体" w:cs="宋体"/>
                <w:sz w:val="24"/>
                <w:szCs w:val="24"/>
                <w:u w:val="single"/>
              </w:rPr>
              <w:t xml:space="preserve">  </w:t>
            </w:r>
            <w:r>
              <w:rPr>
                <w:rFonts w:hint="eastAsia" w:ascii="宋体" w:hAnsi="宋体" w:eastAsia="宋体" w:cs="宋体"/>
                <w:sz w:val="24"/>
                <w:szCs w:val="24"/>
                <w:u w:val="single"/>
              </w:rPr>
              <w:t>3000元</w:t>
            </w:r>
            <w:r>
              <w:rPr>
                <w:rFonts w:ascii="宋体" w:hAnsi="宋体" w:eastAsia="宋体" w:cs="宋体"/>
                <w:sz w:val="24"/>
                <w:szCs w:val="24"/>
                <w:u w:val="single"/>
              </w:rPr>
              <w:t xml:space="preserve">     </w:t>
            </w:r>
          </w:p>
          <w:p w14:paraId="02CA4A03">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ascii="宋体" w:hAnsi="宋体" w:eastAsia="宋体" w:cs="宋体"/>
                <w:sz w:val="24"/>
                <w:szCs w:val="24"/>
                <w:u w:val="single"/>
              </w:rPr>
              <w:t xml:space="preserve">   </w:t>
            </w:r>
            <w:r>
              <w:rPr>
                <w:rFonts w:hint="eastAsia" w:ascii="宋体" w:hAnsi="宋体" w:eastAsia="宋体" w:cs="宋体"/>
                <w:sz w:val="24"/>
                <w:szCs w:val="24"/>
                <w:u w:val="single"/>
              </w:rPr>
              <w:t>合同约定</w:t>
            </w:r>
            <w:r>
              <w:rPr>
                <w:rFonts w:ascii="宋体" w:hAnsi="宋体" w:eastAsia="宋体" w:cs="宋体"/>
                <w:sz w:val="24"/>
                <w:szCs w:val="24"/>
                <w:u w:val="single"/>
              </w:rPr>
              <w:t xml:space="preserve">        </w:t>
            </w:r>
          </w:p>
        </w:tc>
      </w:tr>
      <w:tr w14:paraId="6F50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35CA403">
            <w:pPr>
              <w:pStyle w:val="37"/>
            </w:pPr>
            <w:r>
              <w:rPr>
                <w:rFonts w:hint="eastAsia"/>
              </w:rPr>
              <w:t>27.1</w:t>
            </w:r>
          </w:p>
        </w:tc>
        <w:tc>
          <w:tcPr>
            <w:tcW w:w="1160" w:type="pct"/>
            <w:vAlign w:val="center"/>
          </w:tcPr>
          <w:p w14:paraId="2FDDDBEF">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签订合同和合同公告时间</w:t>
            </w:r>
          </w:p>
        </w:tc>
        <w:tc>
          <w:tcPr>
            <w:tcW w:w="3267" w:type="pct"/>
            <w:vAlign w:val="center"/>
          </w:tcPr>
          <w:p w14:paraId="7D0BC55B">
            <w:pPr>
              <w:pStyle w:val="23"/>
              <w:widowControl/>
              <w:spacing w:before="0" w:beforeAutospacing="0" w:after="0" w:afterAutospacing="0" w:line="360" w:lineRule="auto"/>
              <w:rPr>
                <w:rFonts w:ascii="宋体" w:hAnsi="宋体" w:eastAsia="宋体" w:cs="宋体"/>
                <w:szCs w:val="24"/>
              </w:rPr>
            </w:pPr>
            <w:r>
              <w:rPr>
                <w:rFonts w:hint="eastAsia" w:ascii="宋体" w:hAnsi="宋体" w:eastAsia="宋体" w:cs="宋体"/>
                <w:szCs w:val="24"/>
              </w:rPr>
              <w:t>（1）采购人与成交供应商应当自发出成交通知书之日起7个工作日内签订合同，采购合同签订之日起2个工作日内完成政府采购合同公开。</w:t>
            </w:r>
          </w:p>
          <w:p w14:paraId="7821F82B">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cs="宋体"/>
                <w:b w:val="0"/>
                <w:bCs w:val="0"/>
                <w:sz w:val="24"/>
                <w:szCs w:val="24"/>
              </w:rPr>
              <w:t>（2）采购人与成交供应商</w:t>
            </w:r>
            <w:r>
              <w:rPr>
                <w:rFonts w:ascii="宋体" w:hAnsi="宋体" w:eastAsia="宋体" w:cs="宋体"/>
                <w:b w:val="0"/>
                <w:bCs w:val="0"/>
                <w:sz w:val="24"/>
                <w:szCs w:val="24"/>
              </w:rPr>
              <w:t>不得擅自变更合同，依照政府采购法确需变更政府采购合同内容的，采购人应当自合同变更之日起2个工作日内</w:t>
            </w:r>
            <w:r>
              <w:rPr>
                <w:rFonts w:hint="eastAsia" w:ascii="宋体" w:hAnsi="宋体" w:eastAsia="宋体" w:cs="宋体"/>
                <w:b w:val="0"/>
                <w:bCs w:val="0"/>
                <w:sz w:val="24"/>
                <w:szCs w:val="24"/>
              </w:rPr>
              <w:t>在滁州市自然资源勘测规划研究院有限公司网站</w:t>
            </w:r>
            <w:r>
              <w:rPr>
                <w:rFonts w:ascii="宋体" w:hAnsi="宋体" w:eastAsia="宋体" w:cs="宋体"/>
                <w:b w:val="0"/>
                <w:bCs w:val="0"/>
                <w:sz w:val="24"/>
                <w:szCs w:val="24"/>
              </w:rPr>
              <w:t>发布政府采购合同变更公告</w:t>
            </w:r>
            <w:r>
              <w:rPr>
                <w:rFonts w:hint="eastAsia" w:ascii="宋体" w:hAnsi="宋体" w:eastAsia="宋体" w:cs="宋体"/>
                <w:b w:val="0"/>
                <w:bCs w:val="0"/>
                <w:sz w:val="24"/>
                <w:szCs w:val="24"/>
              </w:rPr>
              <w:t>，</w:t>
            </w:r>
            <w:r>
              <w:rPr>
                <w:rFonts w:ascii="宋体" w:hAnsi="宋体" w:eastAsia="宋体" w:cs="宋体"/>
                <w:b w:val="0"/>
                <w:bCs w:val="0"/>
                <w:sz w:val="24"/>
                <w:szCs w:val="24"/>
              </w:rPr>
              <w:t>但涉及国家秘密、商业秘密的信息和其他依法不得公开的信息除外。</w:t>
            </w:r>
          </w:p>
        </w:tc>
      </w:tr>
      <w:tr w14:paraId="6ED0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5A2593A">
            <w:pPr>
              <w:pStyle w:val="37"/>
            </w:pPr>
            <w:r>
              <w:rPr>
                <w:rFonts w:hint="eastAsia"/>
              </w:rPr>
              <w:t>29.3</w:t>
            </w:r>
          </w:p>
        </w:tc>
        <w:tc>
          <w:tcPr>
            <w:tcW w:w="1160" w:type="pct"/>
            <w:vAlign w:val="center"/>
          </w:tcPr>
          <w:p w14:paraId="491D25A8">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3267" w:type="pct"/>
            <w:vAlign w:val="center"/>
          </w:tcPr>
          <w:p w14:paraId="57909B92">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sz w:val="24"/>
                <w:u w:val="single"/>
              </w:rPr>
              <w:t xml:space="preserve">  纸质递交 </w:t>
            </w:r>
          </w:p>
          <w:p w14:paraId="5759E9F2">
            <w:pPr>
              <w:pStyle w:val="36"/>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sz w:val="24"/>
              </w:rPr>
              <w:t>接收部门：</w:t>
            </w:r>
            <w:r>
              <w:rPr>
                <w:rFonts w:hint="eastAsia" w:ascii="宋体" w:hAnsi="宋体" w:eastAsia="宋体"/>
                <w:sz w:val="24"/>
                <w:u w:val="single"/>
              </w:rPr>
              <w:t xml:space="preserve">  滁州市自然资源勘测规划研究院有限公司或合普项目管理咨询集团有限公司</w:t>
            </w:r>
          </w:p>
          <w:p w14:paraId="385C07E7">
            <w:pPr>
              <w:pStyle w:val="36"/>
              <w:widowControl w:val="0"/>
              <w:spacing w:before="0" w:beforeAutospacing="0" w:after="0" w:afterAutospacing="0" w:line="360" w:lineRule="auto"/>
              <w:jc w:val="both"/>
              <w:rPr>
                <w:rFonts w:ascii="宋体" w:hAnsi="宋体" w:eastAsia="宋体"/>
                <w:b w:val="0"/>
                <w:bCs w:val="0"/>
                <w:sz w:val="24"/>
                <w:szCs w:val="18"/>
              </w:rPr>
            </w:pPr>
            <w:r>
              <w:rPr>
                <w:rFonts w:ascii="宋体" w:hAnsi="宋体" w:eastAsia="宋体"/>
                <w:b w:val="0"/>
                <w:sz w:val="24"/>
              </w:rPr>
              <w:t>联系电话：</w:t>
            </w:r>
            <w:r>
              <w:rPr>
                <w:rFonts w:hint="eastAsia" w:ascii="宋体" w:hAnsi="宋体" w:eastAsia="宋体"/>
                <w:sz w:val="24"/>
                <w:u w:val="single"/>
              </w:rPr>
              <w:t xml:space="preserve"> </w:t>
            </w:r>
            <w:r>
              <w:rPr>
                <w:rFonts w:hint="eastAsia" w:ascii="宋体" w:hAnsi="宋体" w:eastAsia="宋体" w:cs="宋体"/>
                <w:sz w:val="24"/>
                <w:szCs w:val="24"/>
                <w:u w:val="single"/>
              </w:rPr>
              <w:t>13955015263或15855019857</w:t>
            </w:r>
          </w:p>
          <w:p w14:paraId="70086C63">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通讯地址：</w:t>
            </w:r>
            <w:r>
              <w:rPr>
                <w:rFonts w:hint="eastAsia" w:ascii="宋体" w:hAnsi="宋体" w:eastAsia="宋体"/>
                <w:sz w:val="24"/>
                <w:u w:val="single"/>
              </w:rPr>
              <w:t xml:space="preserve"> </w:t>
            </w:r>
            <w:r>
              <w:rPr>
                <w:rFonts w:hint="eastAsia" w:ascii="宋体" w:hAnsi="宋体" w:eastAsia="宋体" w:cs="宋体"/>
                <w:sz w:val="24"/>
                <w:szCs w:val="24"/>
                <w:u w:val="single"/>
              </w:rPr>
              <w:t>滁州市南谯区龙蟠大道109号或滁州市南谯区花园东路558号</w:t>
            </w:r>
          </w:p>
        </w:tc>
      </w:tr>
      <w:tr w14:paraId="3E81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5A9991B">
            <w:pPr>
              <w:pStyle w:val="37"/>
            </w:pPr>
            <w:r>
              <w:rPr>
                <w:rFonts w:hint="eastAsia"/>
              </w:rPr>
              <w:t>30</w:t>
            </w:r>
          </w:p>
        </w:tc>
        <w:tc>
          <w:tcPr>
            <w:tcW w:w="1160" w:type="pct"/>
            <w:vAlign w:val="center"/>
          </w:tcPr>
          <w:p w14:paraId="58B77708">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3267" w:type="pct"/>
            <w:vAlign w:val="center"/>
          </w:tcPr>
          <w:p w14:paraId="65484A8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1.解释权</w:t>
            </w:r>
          </w:p>
          <w:p w14:paraId="15DF3F15">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文件的各个组成文件应互为解释，互为说明；</w:t>
            </w:r>
          </w:p>
          <w:p w14:paraId="6EC5D265">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55B7839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5CF6A261">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rPr>
              <w:t>磋商及响应文件提交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竞争性磋商</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rPr>
              <w:t>磋商邀请、供应商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14:paraId="0C88CF37">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w:t>
            </w:r>
            <w:r>
              <w:rPr>
                <w:rFonts w:asciiTheme="minorEastAsia" w:hAnsiTheme="minorEastAsia" w:eastAsiaTheme="minorEastAsia"/>
                <w:bCs/>
                <w:sz w:val="24"/>
                <w:szCs w:val="24"/>
              </w:rPr>
              <w:t>按本款前述规定仍不能形成结论的，由</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人负责解释。</w:t>
            </w:r>
          </w:p>
        </w:tc>
      </w:tr>
      <w:tr w14:paraId="4942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72" w:type="pct"/>
            <w:vAlign w:val="center"/>
          </w:tcPr>
          <w:p w14:paraId="3D1AC46E">
            <w:pPr>
              <w:pStyle w:val="37"/>
            </w:pPr>
            <w:r>
              <w:rPr>
                <w:rFonts w:hint="eastAsia"/>
              </w:rPr>
              <w:t>31</w:t>
            </w:r>
          </w:p>
        </w:tc>
        <w:tc>
          <w:tcPr>
            <w:tcW w:w="1160" w:type="pct"/>
            <w:vAlign w:val="center"/>
          </w:tcPr>
          <w:p w14:paraId="6048FE1D">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重要说明</w:t>
            </w:r>
          </w:p>
        </w:tc>
        <w:tc>
          <w:tcPr>
            <w:tcW w:w="3267" w:type="pct"/>
            <w:vAlign w:val="center"/>
          </w:tcPr>
          <w:p w14:paraId="69B963D1">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供应商的法定代表人或授权委托人应当准时到磋商现场参与磋商，否则视为无效响应。法定代表人参加开标会议，应携带法定代表人身份证明原件和本人有效身份证；委托代理人参加开标会议应携带法定代表人授权书和本人有效身份证。</w:t>
            </w:r>
          </w:p>
        </w:tc>
      </w:tr>
    </w:tbl>
    <w:p w14:paraId="00E5C173">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8"/>
        </w:rPr>
        <w:br w:type="page"/>
      </w:r>
      <w:bookmarkStart w:id="59" w:name="_Toc2941"/>
      <w:bookmarkStart w:id="60" w:name="_Toc7337"/>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bookmarkEnd w:id="59"/>
      <w:bookmarkEnd w:id="60"/>
    </w:p>
    <w:p w14:paraId="796FE9F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采购人、采购代理机构及供应商</w:t>
      </w:r>
    </w:p>
    <w:p w14:paraId="59BDCE1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3AA6490D">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6EE06544">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0C86D64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供应商</w:t>
      </w:r>
      <w:r>
        <w:rPr>
          <w:rFonts w:ascii="宋体" w:hAnsi="宋体" w:eastAsia="宋体"/>
          <w:sz w:val="24"/>
        </w:rPr>
        <w:t>：是指向采购人提供货物、工程或者服务的法人、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及其</w:t>
      </w:r>
      <w:r>
        <w:rPr>
          <w:rFonts w:hint="eastAsia" w:ascii="宋体" w:hAnsi="宋体" w:eastAsia="宋体"/>
          <w:sz w:val="24"/>
        </w:rPr>
        <w:t>所</w:t>
      </w:r>
      <w:r>
        <w:rPr>
          <w:rFonts w:ascii="宋体" w:hAnsi="宋体" w:eastAsia="宋体"/>
          <w:sz w:val="24"/>
        </w:rPr>
        <w:t>投货物须满足以下条件：</w:t>
      </w:r>
    </w:p>
    <w:p w14:paraId="2F60BA0D">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5D2C377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w:t>
      </w:r>
      <w:r>
        <w:rPr>
          <w:rFonts w:hint="eastAsia" w:ascii="宋体" w:hAnsi="宋体" w:eastAsia="宋体"/>
          <w:sz w:val="24"/>
        </w:rPr>
        <w:t>磋商</w:t>
      </w:r>
      <w:r>
        <w:rPr>
          <w:rFonts w:ascii="宋体" w:hAnsi="宋体" w:eastAsia="宋体"/>
          <w:sz w:val="24"/>
        </w:rPr>
        <w:t>文件。</w:t>
      </w:r>
    </w:p>
    <w:p w14:paraId="20C78856">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w:t>
      </w:r>
      <w:r>
        <w:rPr>
          <w:rFonts w:hint="eastAsia" w:ascii="宋体" w:hAnsi="宋体" w:eastAsia="宋体"/>
          <w:sz w:val="24"/>
        </w:rPr>
        <w:t>供应商</w:t>
      </w:r>
      <w:r>
        <w:rPr>
          <w:rFonts w:ascii="宋体" w:hAnsi="宋体" w:eastAsia="宋体"/>
          <w:sz w:val="24"/>
        </w:rPr>
        <w:t>应保证所投产品可履行合法报通关手续进入中国关境内。</w:t>
      </w:r>
    </w:p>
    <w:p w14:paraId="0BDCF32D">
      <w:pPr>
        <w:spacing w:line="360" w:lineRule="auto"/>
        <w:ind w:firstLine="435"/>
        <w:rPr>
          <w:rFonts w:ascii="宋体" w:hAnsi="宋体" w:eastAsia="宋体"/>
          <w:sz w:val="24"/>
        </w:rPr>
      </w:pPr>
      <w:r>
        <w:rPr>
          <w:rFonts w:hint="eastAsia" w:ascii="宋体" w:hAnsi="宋体" w:eastAsia="宋体"/>
          <w:sz w:val="24"/>
        </w:rPr>
        <w:t>若采购需求中未写明允许采购进口产品，如供应商所投产品为进口产品，其响应文件将被认定为</w:t>
      </w:r>
      <w:r>
        <w:rPr>
          <w:rFonts w:hint="eastAsia" w:ascii="宋体" w:hAnsi="宋体" w:eastAsia="宋体"/>
          <w:b/>
          <w:sz w:val="24"/>
        </w:rPr>
        <w:t>响应无效</w:t>
      </w:r>
      <w:r>
        <w:rPr>
          <w:rFonts w:hint="eastAsia" w:ascii="宋体" w:hAnsi="宋体" w:eastAsia="宋体"/>
          <w:sz w:val="24"/>
        </w:rPr>
        <w:t>。</w:t>
      </w:r>
    </w:p>
    <w:p w14:paraId="1482DD68">
      <w:pPr>
        <w:spacing w:line="360" w:lineRule="auto"/>
        <w:ind w:firstLine="435"/>
        <w:rPr>
          <w:rFonts w:ascii="宋体" w:hAnsi="宋体" w:eastAsia="宋体"/>
          <w:sz w:val="24"/>
        </w:rPr>
      </w:pPr>
      <w:bookmarkStart w:id="61" w:name="_Hlk60607583"/>
      <w:r>
        <w:rPr>
          <w:rFonts w:hint="eastAsia" w:ascii="宋体" w:hAnsi="宋体" w:eastAsia="宋体"/>
          <w:bCs/>
          <w:kern w:val="0"/>
          <w:sz w:val="24"/>
          <w:szCs w:val="28"/>
        </w:rPr>
        <w:t>1</w:t>
      </w:r>
      <w:r>
        <w:rPr>
          <w:rFonts w:ascii="宋体" w:hAnsi="宋体" w:eastAsia="宋体"/>
          <w:bCs/>
          <w:kern w:val="0"/>
          <w:sz w:val="24"/>
          <w:szCs w:val="28"/>
        </w:rPr>
        <w:t>.5</w:t>
      </w:r>
      <w:r>
        <w:rPr>
          <w:rFonts w:hint="eastAsia" w:ascii="宋体" w:hAnsi="宋体" w:eastAsia="宋体"/>
          <w:bCs/>
          <w:kern w:val="0"/>
          <w:sz w:val="24"/>
          <w:szCs w:val="28"/>
        </w:rPr>
        <w:t>若竞争性磋商公告</w:t>
      </w:r>
      <w:r>
        <w:rPr>
          <w:rFonts w:ascii="宋体" w:hAnsi="宋体" w:eastAsia="宋体"/>
          <w:bCs/>
          <w:kern w:val="0"/>
          <w:sz w:val="24"/>
          <w:szCs w:val="28"/>
        </w:rPr>
        <w:t>中允许联合体</w:t>
      </w:r>
      <w:r>
        <w:rPr>
          <w:rFonts w:hint="eastAsia" w:ascii="宋体" w:hAnsi="宋体" w:eastAsia="宋体"/>
          <w:bCs/>
          <w:kern w:val="0"/>
          <w:sz w:val="24"/>
          <w:szCs w:val="28"/>
        </w:rPr>
        <w:t>参加磋商</w:t>
      </w:r>
      <w:r>
        <w:rPr>
          <w:rFonts w:ascii="宋体" w:hAnsi="宋体" w:eastAsia="宋体"/>
          <w:bCs/>
          <w:kern w:val="0"/>
          <w:sz w:val="24"/>
          <w:szCs w:val="28"/>
        </w:rPr>
        <w:t>，对联合体规定如下：</w:t>
      </w:r>
    </w:p>
    <w:bookmarkEnd w:id="61"/>
    <w:p w14:paraId="33ABD0B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.1</w:t>
      </w:r>
      <w:r>
        <w:rPr>
          <w:rFonts w:hint="eastAsia" w:ascii="宋体" w:hAnsi="宋体" w:eastAsia="宋体"/>
          <w:sz w:val="24"/>
        </w:rPr>
        <w:t>两个以上供应商可以组成一个磋商联合体，以一个供应商的身份磋商</w:t>
      </w:r>
      <w:r>
        <w:rPr>
          <w:rFonts w:ascii="宋体" w:hAnsi="宋体" w:eastAsia="宋体"/>
          <w:sz w:val="24"/>
        </w:rPr>
        <w:t>。联合体参加磋商的，</w:t>
      </w:r>
      <w:r>
        <w:rPr>
          <w:rFonts w:hint="eastAsia" w:ascii="宋体" w:hAnsi="宋体" w:eastAsia="宋体"/>
          <w:sz w:val="24"/>
        </w:rPr>
        <w:t>磋商文件获取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任一</w:t>
      </w:r>
      <w:r>
        <w:rPr>
          <w:rFonts w:hint="eastAsia" w:ascii="宋体" w:hAnsi="宋体" w:eastAsia="宋体"/>
          <w:sz w:val="24"/>
        </w:rPr>
        <w:t>成员单位</w:t>
      </w:r>
      <w:r>
        <w:rPr>
          <w:rFonts w:ascii="宋体" w:hAnsi="宋体" w:eastAsia="宋体"/>
          <w:sz w:val="24"/>
        </w:rPr>
        <w:t>办理均可。</w:t>
      </w:r>
    </w:p>
    <w:p w14:paraId="26CC741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.2联合体各方均应符合《中华人民共和国政府采购法》第二十二条规定的条件。</w:t>
      </w:r>
    </w:p>
    <w:p w14:paraId="4941B9A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.3采购人根据采购项目对</w:t>
      </w:r>
      <w:r>
        <w:rPr>
          <w:rFonts w:hint="eastAsia" w:ascii="宋体" w:hAnsi="宋体" w:eastAsia="宋体"/>
          <w:sz w:val="24"/>
        </w:rPr>
        <w:t>供应商</w:t>
      </w:r>
      <w:r>
        <w:rPr>
          <w:rFonts w:ascii="宋体" w:hAnsi="宋体" w:eastAsia="宋体"/>
          <w:sz w:val="24"/>
        </w:rPr>
        <w:t>的特殊要求，联合体中至少应当有一方符合相关规定。</w:t>
      </w:r>
    </w:p>
    <w:p w14:paraId="4994081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w:t>
      </w:r>
      <w:r>
        <w:rPr>
          <w:rFonts w:hint="eastAsia" w:ascii="宋体" w:hAnsi="宋体" w:eastAsia="宋体"/>
          <w:sz w:val="24"/>
        </w:rPr>
        <w:t>响应</w:t>
      </w:r>
      <w:r>
        <w:rPr>
          <w:rFonts w:ascii="宋体" w:hAnsi="宋体" w:eastAsia="宋体"/>
          <w:sz w:val="24"/>
        </w:rPr>
        <w:t>文件</w:t>
      </w:r>
      <w:r>
        <w:rPr>
          <w:rFonts w:hint="eastAsia" w:ascii="宋体" w:hAnsi="宋体" w:eastAsia="宋体"/>
          <w:sz w:val="24"/>
        </w:rPr>
        <w:t>的</w:t>
      </w:r>
      <w:r>
        <w:rPr>
          <w:rFonts w:ascii="宋体" w:hAnsi="宋体" w:eastAsia="宋体"/>
          <w:sz w:val="24"/>
        </w:rPr>
        <w:t>一部分提交。</w:t>
      </w:r>
    </w:p>
    <w:p w14:paraId="72A796C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.5大中型企业、其他自然人、法人或者非法人组织与小型、微型企业组成联合体共同参加</w:t>
      </w:r>
      <w:r>
        <w:rPr>
          <w:rFonts w:hint="eastAsia" w:ascii="宋体" w:hAnsi="宋体" w:eastAsia="宋体"/>
          <w:sz w:val="24"/>
        </w:rPr>
        <w:t>磋商</w:t>
      </w:r>
      <w:r>
        <w:rPr>
          <w:rFonts w:ascii="宋体" w:hAnsi="宋体" w:eastAsia="宋体"/>
          <w:sz w:val="24"/>
        </w:rPr>
        <w:t>，</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联合协议合同</w:t>
      </w:r>
      <w:r>
        <w:rPr>
          <w:rFonts w:ascii="宋体" w:hAnsi="宋体" w:eastAsia="宋体"/>
          <w:sz w:val="24"/>
        </w:rPr>
        <w:t>总金额的比例。</w:t>
      </w:r>
    </w:p>
    <w:p w14:paraId="701AB4B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0AC552FA">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.7以联合体形式参加政府采购活动的，联合体各方不得再单独参加或者与其他供应商另外组成联合体参加本项目</w:t>
      </w:r>
      <w:r>
        <w:rPr>
          <w:rFonts w:hint="eastAsia" w:ascii="宋体" w:hAnsi="宋体" w:eastAsia="宋体"/>
          <w:sz w:val="24"/>
        </w:rPr>
        <w:t>磋商</w:t>
      </w:r>
      <w:r>
        <w:rPr>
          <w:rFonts w:ascii="宋体" w:hAnsi="宋体" w:eastAsia="宋体"/>
          <w:sz w:val="24"/>
        </w:rPr>
        <w:t>，否则相关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51A1F10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.8对联合体参加磋商的其他资格要求见</w:t>
      </w:r>
      <w:r>
        <w:rPr>
          <w:rFonts w:hint="eastAsia" w:ascii="宋体" w:hAnsi="宋体" w:eastAsia="宋体"/>
          <w:sz w:val="24"/>
        </w:rPr>
        <w:t>申请人的资格要求</w:t>
      </w:r>
      <w:r>
        <w:rPr>
          <w:rFonts w:ascii="宋体" w:hAnsi="宋体" w:eastAsia="宋体"/>
          <w:sz w:val="24"/>
        </w:rPr>
        <w:t>。</w:t>
      </w:r>
    </w:p>
    <w:p w14:paraId="34B2FCD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资金落实情况</w:t>
      </w:r>
    </w:p>
    <w:p w14:paraId="5D5DDFD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.1本项目的采购人已获得足以支付本次磋商后所签订的合同项下的资金。</w:t>
      </w:r>
    </w:p>
    <w:p w14:paraId="6675D64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14:paraId="1FA7ED35">
      <w:pPr>
        <w:spacing w:line="360" w:lineRule="auto"/>
        <w:ind w:firstLine="435"/>
        <w:rPr>
          <w:rFonts w:ascii="宋体" w:hAnsi="宋体" w:eastAsia="宋体"/>
          <w:sz w:val="24"/>
        </w:rPr>
      </w:pPr>
      <w:r>
        <w:rPr>
          <w:rFonts w:hint="eastAsia" w:ascii="宋体" w:hAnsi="宋体" w:eastAsia="宋体"/>
          <w:sz w:val="24"/>
        </w:rPr>
        <w:t>不论磋商的结果如何，供应商应承担其所有与准备和参加磋商有关的费用。</w:t>
      </w:r>
    </w:p>
    <w:p w14:paraId="1D36DD7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适用法律</w:t>
      </w:r>
    </w:p>
    <w:p w14:paraId="20FC1923">
      <w:pPr>
        <w:spacing w:line="360" w:lineRule="auto"/>
        <w:ind w:firstLine="435"/>
        <w:rPr>
          <w:rFonts w:asciiTheme="minorEastAsia" w:hAnsiTheme="minorEastAsia" w:eastAsiaTheme="minorEastAsia"/>
          <w:sz w:val="24"/>
        </w:rPr>
      </w:pPr>
      <w:r>
        <w:rPr>
          <w:rFonts w:hint="eastAsia" w:ascii="宋体" w:hAnsi="宋体" w:eastAsia="宋体"/>
          <w:sz w:val="24"/>
        </w:rPr>
        <w:t>根据《中华人民共和国招标投标法》、《中华人民共和国民法典》等相关法律法规和规章及部、省、市级规范性文件的规定，编制本磋商文件。</w:t>
      </w:r>
    </w:p>
    <w:p w14:paraId="69576F3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14:paraId="55C88BDB">
      <w:pPr>
        <w:spacing w:line="360" w:lineRule="auto"/>
        <w:ind w:firstLine="435"/>
        <w:rPr>
          <w:rFonts w:ascii="宋体" w:hAnsi="宋体" w:eastAsia="宋体"/>
          <w:sz w:val="24"/>
        </w:rPr>
      </w:pPr>
      <w:r>
        <w:rPr>
          <w:rFonts w:hint="eastAsia" w:ascii="宋体" w:hAnsi="宋体" w:eastAsia="宋体"/>
          <w:sz w:val="24"/>
        </w:rPr>
        <w:t>5.1磋商文件包括下列内容：</w:t>
      </w:r>
    </w:p>
    <w:p w14:paraId="259632CE">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磋商公告</w:t>
      </w:r>
    </w:p>
    <w:p w14:paraId="59228DA6">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77A231B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2AD45974">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514BDBB3">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3ECA9401">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14:paraId="6266756D">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305A364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31BE8A6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738FB3D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如需提供样品，对样品相关要求见采购需求，对样品的评审方法及评审标准见磋商文件第四章。</w:t>
      </w:r>
    </w:p>
    <w:p w14:paraId="4775752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14:paraId="0BF8243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14:paraId="5FC302F1">
      <w:pPr>
        <w:spacing w:line="360" w:lineRule="auto"/>
        <w:ind w:firstLine="435"/>
        <w:rPr>
          <w:rFonts w:ascii="宋体" w:hAnsi="宋体" w:eastAsia="宋体" w:cs="宋体"/>
          <w:sz w:val="24"/>
        </w:rPr>
      </w:pPr>
      <w:r>
        <w:rPr>
          <w:rFonts w:hint="eastAsia" w:ascii="宋体" w:hAnsi="宋体" w:eastAsia="宋体" w:cs="宋体"/>
          <w:sz w:val="24"/>
        </w:rPr>
        <w:t>6.1供应商如对磋商文件内容有疑问，必须在</w:t>
      </w:r>
      <w:r>
        <w:rPr>
          <w:rFonts w:hint="eastAsia" w:ascii="宋体" w:hAnsi="宋体" w:eastAsia="宋体" w:cs="宋体"/>
          <w:sz w:val="24"/>
          <w:u w:val="single"/>
        </w:rPr>
        <w:t>供应商须知前附表</w:t>
      </w:r>
      <w:r>
        <w:rPr>
          <w:rFonts w:hint="eastAsia" w:ascii="宋体" w:hAnsi="宋体" w:eastAsia="宋体" w:cs="宋体"/>
          <w:sz w:val="24"/>
        </w:rPr>
        <w:t>规定的网上询问截止时间前以网上提问形式（电子交易系统）提交给采购代理机构。</w:t>
      </w:r>
    </w:p>
    <w:p w14:paraId="26E3572E">
      <w:pPr>
        <w:spacing w:line="360" w:lineRule="auto"/>
        <w:ind w:firstLine="435"/>
        <w:rPr>
          <w:rFonts w:asciiTheme="minorEastAsia" w:hAnsiTheme="minorEastAsia" w:eastAsiaTheme="minorEastAsia"/>
          <w:sz w:val="24"/>
        </w:rPr>
      </w:pPr>
      <w:r>
        <w:rPr>
          <w:rFonts w:hint="eastAsia" w:ascii="宋体" w:hAnsi="宋体" w:eastAsia="宋体" w:cs="宋体"/>
          <w:sz w:val="24"/>
        </w:rPr>
        <w:t>6.2采购人可主动地或在答复供应商提出的询问时对磋商文件进行澄清与修改。采购代理机构将在</w:t>
      </w:r>
      <w:bookmarkStart w:id="62" w:name="_Hlk16458572"/>
      <w:r>
        <w:rPr>
          <w:rFonts w:hint="eastAsia" w:ascii="宋体" w:hAnsi="宋体" w:eastAsia="宋体" w:cs="宋体"/>
          <w:sz w:val="24"/>
          <w:szCs w:val="18"/>
        </w:rPr>
        <w:t>滁州市自然资源勘测规划研究院有限公司网站及</w:t>
      </w:r>
      <w:bookmarkEnd w:id="62"/>
      <w:r>
        <w:rPr>
          <w:rFonts w:hint="eastAsia" w:ascii="宋体" w:hAnsi="宋体" w:eastAsia="宋体" w:cs="宋体"/>
          <w:sz w:val="24"/>
        </w:rPr>
        <w:t>以发布更正公告的方式澄清或者修改磋商文件，更正公告的内容作为磋商文件的组成部分，对供应商起约束作用。供应商应主动上网查询。</w:t>
      </w:r>
      <w:r>
        <w:rPr>
          <w:rFonts w:hint="eastAsia" w:asciiTheme="minorEastAsia" w:hAnsiTheme="minorEastAsia" w:eastAsiaTheme="minorEastAsia"/>
          <w:sz w:val="24"/>
        </w:rPr>
        <w:t>采购代理机构不承担供应商未及时关注相关信息引发的相关责任。</w:t>
      </w:r>
    </w:p>
    <w:p w14:paraId="7AF1066B">
      <w:pPr>
        <w:spacing w:line="360" w:lineRule="auto"/>
        <w:ind w:firstLine="435"/>
        <w:rPr>
          <w:rFonts w:ascii="宋体" w:hAnsi="宋体" w:eastAsia="宋体"/>
          <w:sz w:val="24"/>
        </w:rPr>
      </w:pPr>
      <w:r>
        <w:rPr>
          <w:rFonts w:hint="eastAsia" w:ascii="宋体" w:hAnsi="宋体" w:eastAsia="宋体"/>
          <w:sz w:val="24"/>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35A2F229">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14:paraId="611BE23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磋商范围及响应文件中标准和计量单位的使用</w:t>
      </w:r>
    </w:p>
    <w:p w14:paraId="7EEF5BA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.1项目有分包的，供应商可</w:t>
      </w:r>
      <w:r>
        <w:rPr>
          <w:rFonts w:hint="eastAsia" w:asciiTheme="minorEastAsia" w:hAnsiTheme="minorEastAsia" w:eastAsiaTheme="minorEastAsia"/>
          <w:sz w:val="24"/>
        </w:rPr>
        <w:t>参与</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的磋商</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14:paraId="45D87164">
      <w:pPr>
        <w:spacing w:line="360" w:lineRule="auto"/>
        <w:ind w:firstLine="435"/>
        <w:rPr>
          <w:rFonts w:eastAsiaTheme="minorEastAsia"/>
        </w:rPr>
      </w:pPr>
      <w:r>
        <w:rPr>
          <w:rFonts w:hint="eastAsia" w:asciiTheme="minorEastAsia" w:hAnsiTheme="minorEastAsia" w:eastAsiaTheme="minorEastAsia"/>
          <w:sz w:val="24"/>
        </w:rPr>
        <w:t>7.2 供应商</w:t>
      </w:r>
      <w:r>
        <w:rPr>
          <w:rFonts w:asciiTheme="minorEastAsia" w:hAnsiTheme="minorEastAsia" w:eastAsiaTheme="minorEastAsia"/>
          <w:sz w:val="24"/>
        </w:rPr>
        <w:t>应当对所投分包</w:t>
      </w:r>
      <w:r>
        <w:rPr>
          <w:rFonts w:hint="eastAsia" w:asciiTheme="minorEastAsia" w:hAnsiTheme="minorEastAsia" w:eastAsiaTheme="minorEastAsia"/>
          <w:sz w:val="24"/>
        </w:rPr>
        <w:t>磋商</w:t>
      </w:r>
      <w:r>
        <w:rPr>
          <w:rFonts w:asciiTheme="minorEastAsia" w:hAnsiTheme="minorEastAsia" w:eastAsiaTheme="minorEastAsia"/>
          <w:sz w:val="24"/>
        </w:rPr>
        <w:t>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所投包别的响应</w:t>
      </w:r>
      <w:r>
        <w:rPr>
          <w:rFonts w:asciiTheme="minorEastAsia" w:hAnsiTheme="minorEastAsia" w:eastAsiaTheme="minorEastAsia"/>
          <w:sz w:val="24"/>
        </w:rPr>
        <w:t>将被认定为</w:t>
      </w:r>
      <w:r>
        <w:rPr>
          <w:rFonts w:hint="eastAsia" w:asciiTheme="minorEastAsia" w:hAnsiTheme="minorEastAsia" w:eastAsiaTheme="minorEastAsia"/>
          <w:b/>
          <w:sz w:val="24"/>
        </w:rPr>
        <w:t>响应</w:t>
      </w:r>
      <w:r>
        <w:rPr>
          <w:rFonts w:asciiTheme="minorEastAsia" w:hAnsiTheme="minorEastAsia" w:eastAsiaTheme="minorEastAsia"/>
          <w:b/>
          <w:sz w:val="24"/>
        </w:rPr>
        <w:t>无效</w:t>
      </w:r>
      <w:r>
        <w:rPr>
          <w:rFonts w:asciiTheme="minorEastAsia" w:hAnsiTheme="minorEastAsia" w:eastAsiaTheme="minorEastAsia"/>
          <w:sz w:val="24"/>
        </w:rPr>
        <w:t>。</w:t>
      </w:r>
    </w:p>
    <w:p w14:paraId="6EB81CB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无论磋商文件中是否要求，供应商所投货物及伴随的服务和工程均应符合国家强制性标准。</w:t>
      </w:r>
    </w:p>
    <w:p w14:paraId="7178485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0ABC1DC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除磋商文件中有特殊要求外，响应文件中所使用的计量单位，应采用中华人民共和国法定计量单位。</w:t>
      </w:r>
    </w:p>
    <w:p w14:paraId="4187A5F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14:paraId="300F6CC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14:paraId="2A24E02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8.2</w:t>
      </w:r>
      <w:r>
        <w:rPr>
          <w:rFonts w:hint="eastAsia" w:ascii="宋体" w:hAnsi="宋体" w:eastAsia="宋体"/>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磋商文件要求的</w:t>
      </w:r>
      <w:r>
        <w:rPr>
          <w:rFonts w:asciiTheme="minorEastAsia" w:hAnsiTheme="minorEastAsia" w:eastAsiaTheme="minorEastAsia"/>
          <w:sz w:val="24"/>
        </w:rPr>
        <w:t>证明文件，证明其</w:t>
      </w:r>
      <w:r>
        <w:rPr>
          <w:rFonts w:hint="eastAsia" w:asciiTheme="minorEastAsia" w:hAnsiTheme="minorEastAsia" w:eastAsiaTheme="minorEastAsia"/>
          <w:sz w:val="24"/>
        </w:rPr>
        <w:t>响应</w:t>
      </w:r>
      <w:r>
        <w:rPr>
          <w:rFonts w:asciiTheme="minorEastAsia" w:hAnsiTheme="minorEastAsia" w:eastAsiaTheme="minorEastAsia"/>
          <w:sz w:val="24"/>
        </w:rPr>
        <w:t>内容符合</w:t>
      </w:r>
      <w:r>
        <w:rPr>
          <w:rFonts w:hint="eastAsia" w:asciiTheme="minorEastAsia" w:hAnsiTheme="minorEastAsia" w:eastAsiaTheme="minorEastAsia"/>
          <w:sz w:val="24"/>
        </w:rPr>
        <w:t>磋商</w:t>
      </w:r>
      <w:r>
        <w:rPr>
          <w:rFonts w:asciiTheme="minorEastAsia" w:hAnsiTheme="minorEastAsia" w:eastAsiaTheme="minorEastAsia"/>
          <w:sz w:val="24"/>
        </w:rPr>
        <w:t>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w:t>
      </w:r>
      <w:r>
        <w:rPr>
          <w:rFonts w:hint="eastAsia" w:asciiTheme="minorEastAsia" w:hAnsiTheme="minorEastAsia" w:eastAsiaTheme="minorEastAsia"/>
          <w:sz w:val="24"/>
        </w:rPr>
        <w:t>响应</w:t>
      </w:r>
      <w:r>
        <w:rPr>
          <w:rFonts w:asciiTheme="minorEastAsia" w:hAnsiTheme="minorEastAsia" w:eastAsiaTheme="minorEastAsia"/>
          <w:sz w:val="24"/>
        </w:rPr>
        <w:t>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63" w:name="_Hlk11703583"/>
      <w:r>
        <w:rPr>
          <w:rFonts w:hint="eastAsia" w:asciiTheme="minorEastAsia" w:hAnsiTheme="minorEastAsia" w:eastAsiaTheme="minorEastAsia"/>
          <w:sz w:val="24"/>
        </w:rPr>
        <w:t>等。</w:t>
      </w:r>
    </w:p>
    <w:bookmarkEnd w:id="63"/>
    <w:p w14:paraId="66AF176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备选磋商</w:t>
      </w:r>
      <w:r>
        <w:rPr>
          <w:rFonts w:asciiTheme="minorEastAsia" w:hAnsiTheme="minorEastAsia" w:eastAsiaTheme="minorEastAsia"/>
          <w:sz w:val="24"/>
        </w:rPr>
        <w:t>方案。</w:t>
      </w:r>
    </w:p>
    <w:p w14:paraId="73B1BB4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4812B5C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货物，</w:t>
      </w:r>
      <w:r>
        <w:rPr>
          <w:rFonts w:asciiTheme="minorEastAsia" w:hAnsiTheme="minorEastAsia" w:eastAsiaTheme="minorEastAsia"/>
          <w:sz w:val="24"/>
        </w:rPr>
        <w:t>以及伴随的</w:t>
      </w:r>
      <w:r>
        <w:rPr>
          <w:rFonts w:hint="eastAsia" w:asciiTheme="minorEastAsia" w:hAnsiTheme="minorEastAsia" w:eastAsiaTheme="minorEastAsia"/>
          <w:sz w:val="24"/>
        </w:rPr>
        <w:t>服务</w:t>
      </w:r>
      <w:r>
        <w:rPr>
          <w:rFonts w:asciiTheme="minorEastAsia" w:hAnsiTheme="minorEastAsia" w:eastAsiaTheme="minorEastAsia"/>
          <w:sz w:val="24"/>
        </w:rPr>
        <w:t>和工程</w:t>
      </w:r>
      <w:r>
        <w:rPr>
          <w:rFonts w:hint="eastAsia" w:asciiTheme="minorEastAsia" w:hAnsiTheme="minorEastAsia" w:eastAsiaTheme="minorEastAsia"/>
          <w:sz w:val="24"/>
        </w:rPr>
        <w:t>。除磋商文件另有规定外，所有内容均应以人民币报价，供应商的磋商报价应遵守《中华人民共和国价格法》。</w:t>
      </w:r>
    </w:p>
    <w:p w14:paraId="710B28B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除非磋商文件另有规定或经采购人同意支付的，最后报价均不得高于磋商文件（公告）列明的项目预算，否则其响应文件将被认定为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073879C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磋商</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39E171B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14:paraId="28E6975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磋商保证金</w:t>
      </w:r>
    </w:p>
    <w:p w14:paraId="2DF2707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10.1本项目不收取磋商保证金。</w:t>
      </w:r>
    </w:p>
    <w:p w14:paraId="602C7FA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磋商有效期</w:t>
      </w:r>
    </w:p>
    <w:p w14:paraId="3CE3D4D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.1磋商有效期为从响应文件提交截止之日算起的日历天数，磋商有效期详见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47BF626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1E305DB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70528A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14:paraId="540147B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12.1供应商应当在第一章竞争性磋商公告规定的响应文件提交截止时间前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在电子交易系统</w:t>
      </w:r>
      <w:r>
        <w:rPr>
          <w:rFonts w:asciiTheme="minorEastAsia" w:hAnsiTheme="minorEastAsia" w:eastAsiaTheme="minorEastAsia"/>
          <w:sz w:val="24"/>
        </w:rPr>
        <w:t>上传。</w:t>
      </w:r>
    </w:p>
    <w:p w14:paraId="096810C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49C09FA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w:t>
      </w:r>
      <w:r>
        <w:rPr>
          <w:rFonts w:asciiTheme="minorEastAsia" w:hAnsiTheme="minorEastAsia" w:eastAsiaTheme="minorEastAsia"/>
          <w:sz w:val="24"/>
        </w:rPr>
        <w:t>3</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规定的解密时间前对其响应文件进行解密。未在规定时间内进行解密的，</w:t>
      </w:r>
      <w:r>
        <w:rPr>
          <w:rFonts w:hint="eastAsia" w:asciiTheme="minorEastAsia" w:hAnsiTheme="minorEastAsia" w:eastAsiaTheme="minorEastAsia"/>
          <w:b/>
          <w:bCs/>
          <w:sz w:val="24"/>
        </w:rPr>
        <w:t>响应无效。</w:t>
      </w:r>
    </w:p>
    <w:p w14:paraId="17251178">
      <w:pPr>
        <w:spacing w:line="360" w:lineRule="auto"/>
        <w:ind w:firstLine="435"/>
        <w:rPr>
          <w:rFonts w:ascii="宋体" w:hAnsi="宋体" w:eastAsia="宋体"/>
          <w:sz w:val="24"/>
        </w:rPr>
      </w:pPr>
      <w:r>
        <w:rPr>
          <w:rFonts w:hint="eastAsia" w:asciiTheme="minorEastAsia" w:hAnsiTheme="minorEastAsia" w:eastAsiaTheme="minorEastAsia"/>
          <w:sz w:val="24"/>
        </w:rPr>
        <w:t>12.4在响应文件提交截止时间之后，供应商不得对其响应文件做任何修改。</w:t>
      </w:r>
      <w:r>
        <w:rPr>
          <w:rFonts w:hint="eastAsia" w:ascii="宋体" w:hAnsi="宋体" w:eastAsia="宋体"/>
          <w:sz w:val="24"/>
        </w:rPr>
        <w:t>但属于磋商小组在评审中发现的计算错误并进行核实的修改、按照磋商文件的变动情况和磋商小组的要求重新提交响应文件的，不在此列。</w:t>
      </w:r>
    </w:p>
    <w:p w14:paraId="55AAED2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14:paraId="7C3AF6E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.1本项目将依法组建磋商小组，磋商小组成员由3人以上</w:t>
      </w:r>
      <w:r>
        <w:rPr>
          <w:rFonts w:hint="eastAsia" w:asciiTheme="minorEastAsia" w:hAnsiTheme="minorEastAsia" w:eastAsiaTheme="minorEastAsia"/>
          <w:sz w:val="24"/>
        </w:rPr>
        <w:t>（含）</w:t>
      </w:r>
      <w:r>
        <w:rPr>
          <w:rFonts w:asciiTheme="minorEastAsia" w:hAnsiTheme="minorEastAsia" w:eastAsiaTheme="minorEastAsia"/>
          <w:sz w:val="24"/>
        </w:rPr>
        <w:t>单数组成，磋商小组及其成员应当依照政府采购的有关规定履行相关职责和义务。</w:t>
      </w:r>
    </w:p>
    <w:p w14:paraId="47A8026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.2磋商小组依法对响应文件进行评审，并根据磋商文件规定的程序、评定成交的标准等事项与实质性响应磋商文件要求的供应商进行磋商。</w:t>
      </w:r>
    </w:p>
    <w:p w14:paraId="5B7B4D1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.3磋商小组应当从质量和服务均能满足磋商文件实质性响应要求的供应商中，按照评审方法和标准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成交候选供应商，并编写</w:t>
      </w:r>
      <w:r>
        <w:rPr>
          <w:rFonts w:hint="eastAsia" w:asciiTheme="minorEastAsia" w:hAnsiTheme="minorEastAsia" w:eastAsiaTheme="minorEastAsia"/>
          <w:sz w:val="24"/>
        </w:rPr>
        <w:t>评审</w:t>
      </w:r>
      <w:r>
        <w:rPr>
          <w:rFonts w:asciiTheme="minorEastAsia" w:hAnsiTheme="minorEastAsia" w:eastAsiaTheme="minorEastAsia"/>
          <w:sz w:val="24"/>
        </w:rPr>
        <w:t>报告。</w:t>
      </w:r>
    </w:p>
    <w:p w14:paraId="0CE0EA9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.响应文件的评审与磋商</w:t>
      </w:r>
    </w:p>
    <w:p w14:paraId="78D49CF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1采购人和采购代理机构将在竞争性磋商公告规定的时间和地点组织磋商。</w:t>
      </w:r>
    </w:p>
    <w:p w14:paraId="5FB2B0A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14.2竞争性磋商活动采用综合评分法评审。</w:t>
      </w:r>
    </w:p>
    <w:p w14:paraId="6A37AB1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14:paraId="1824926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14.3磋商小组将按照磋商文件规定的评审方法和标准对供应商独立进行评审。评审程序如下：</w:t>
      </w:r>
    </w:p>
    <w:p w14:paraId="55498C8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14.3.1</w:t>
      </w:r>
      <w:r>
        <w:rPr>
          <w:rFonts w:hint="eastAsia" w:asciiTheme="minorEastAsia" w:hAnsiTheme="minorEastAsia" w:eastAsiaTheme="minorEastAsia"/>
          <w:b/>
          <w:sz w:val="24"/>
        </w:rPr>
        <w:t>初审</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。磋商小组对供应商必须满足和实质性响应的内容进行评审，供应商未实质性响应磋商文件要求导致响应无效的，磋商小组将以书面询标的方式告知有关供应商。</w:t>
      </w:r>
    </w:p>
    <w:p w14:paraId="78A3734F">
      <w:pPr>
        <w:spacing w:line="360" w:lineRule="auto"/>
        <w:ind w:firstLine="435"/>
        <w:rPr>
          <w:rFonts w:ascii="宋体" w:hAnsi="宋体" w:eastAsia="宋体" w:cs="宋体"/>
          <w:sz w:val="24"/>
          <w:szCs w:val="24"/>
        </w:rPr>
      </w:pPr>
      <w:r>
        <w:rPr>
          <w:rFonts w:hint="eastAsia" w:ascii="宋体" w:hAnsi="宋体" w:eastAsia="宋体" w:cs="宋体"/>
          <w:sz w:val="24"/>
          <w:szCs w:val="24"/>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3FDFBFCD">
      <w:pPr>
        <w:spacing w:line="360" w:lineRule="auto"/>
        <w:ind w:firstLine="435"/>
        <w:rPr>
          <w:rFonts w:ascii="宋体" w:hAnsi="宋体" w:eastAsia="宋体" w:cs="宋体"/>
          <w:sz w:val="24"/>
          <w:szCs w:val="24"/>
        </w:rPr>
      </w:pPr>
      <w:r>
        <w:rPr>
          <w:rFonts w:hint="eastAsia" w:ascii="宋体" w:hAnsi="宋体" w:eastAsia="宋体" w:cs="宋体"/>
          <w:sz w:val="24"/>
          <w:szCs w:val="24"/>
        </w:rPr>
        <w:t>以联合体形式参加磋商的，联合体成员存在以上不良信用记录的，联合体磋商将被认定为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6CE8B25F">
      <w:pPr>
        <w:spacing w:line="360" w:lineRule="auto"/>
        <w:ind w:firstLine="435"/>
        <w:rPr>
          <w:rFonts w:asciiTheme="minorEastAsia" w:hAnsiTheme="minorEastAsia" w:eastAsiaTheme="minorEastAsia"/>
          <w:sz w:val="24"/>
        </w:rPr>
      </w:pPr>
      <w:r>
        <w:rPr>
          <w:rFonts w:hint="eastAsia" w:ascii="宋体" w:hAnsi="宋体" w:eastAsia="宋体" w:cs="宋体"/>
          <w:sz w:val="24"/>
          <w:szCs w:val="24"/>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08C6206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14.3.2</w:t>
      </w:r>
      <w:r>
        <w:rPr>
          <w:rFonts w:hint="eastAsia" w:asciiTheme="minorEastAsia" w:hAnsiTheme="minorEastAsia" w:eastAsiaTheme="minorEastAsia"/>
          <w:b/>
          <w:sz w:val="24"/>
        </w:rPr>
        <w:t>磋商</w:t>
      </w:r>
      <w:r>
        <w:rPr>
          <w:rFonts w:hint="eastAsia" w:asciiTheme="minorEastAsia" w:hAnsiTheme="minorEastAsia" w:eastAsiaTheme="minorEastAsia"/>
          <w:sz w:val="24"/>
        </w:rPr>
        <w:t>。初审合格后，磋商小组将按响应文件提交顺序集中与单一供应商分别进行磋商，并给予所有参加磋商的供应商平等的磋商机会。</w:t>
      </w:r>
    </w:p>
    <w:p w14:paraId="7209FE8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14.3.3</w:t>
      </w:r>
      <w:r>
        <w:rPr>
          <w:rFonts w:asciiTheme="minorEastAsia" w:hAnsiTheme="minorEastAsia" w:eastAsiaTheme="minorEastAsia"/>
          <w:b/>
          <w:sz w:val="24"/>
        </w:rPr>
        <w:t>报价</w:t>
      </w:r>
      <w:r>
        <w:rPr>
          <w:rFonts w:hint="eastAsia" w:asciiTheme="minorEastAsia" w:hAnsiTheme="minorEastAsia" w:eastAsiaTheme="minorEastAsia"/>
          <w:sz w:val="24"/>
        </w:rPr>
        <w:t>。</w:t>
      </w:r>
      <w:r>
        <w:rPr>
          <w:rFonts w:asciiTheme="minorEastAsia" w:hAnsiTheme="minorEastAsia" w:eastAsiaTheme="minorEastAsia"/>
          <w:sz w:val="24"/>
        </w:rPr>
        <w:t>磋商结束后，磋商小组应当要求所有</w:t>
      </w:r>
      <w:r>
        <w:rPr>
          <w:rFonts w:hint="eastAsia" w:asciiTheme="minorEastAsia" w:hAnsiTheme="minorEastAsia" w:eastAsiaTheme="minorEastAsia"/>
          <w:sz w:val="24"/>
        </w:rPr>
        <w:t>实质性响应</w:t>
      </w:r>
      <w:r>
        <w:rPr>
          <w:rFonts w:asciiTheme="minorEastAsia" w:hAnsiTheme="minorEastAsia" w:eastAsiaTheme="minorEastAsia"/>
          <w:sz w:val="24"/>
        </w:rPr>
        <w:t>的供应商在规定时间内提交最后报价</w:t>
      </w:r>
      <w:r>
        <w:rPr>
          <w:rFonts w:hint="eastAsia" w:ascii="宋体" w:hAnsi="宋体" w:eastAsia="宋体"/>
          <w:sz w:val="24"/>
        </w:rPr>
        <w:t>。</w:t>
      </w:r>
    </w:p>
    <w:p w14:paraId="6C6566B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14.3.4</w:t>
      </w:r>
      <w:r>
        <w:rPr>
          <w:rFonts w:hint="eastAsia" w:asciiTheme="minorEastAsia" w:hAnsiTheme="minorEastAsia" w:eastAsiaTheme="minorEastAsia"/>
          <w:b/>
          <w:sz w:val="24"/>
        </w:rPr>
        <w:t>综合评分</w:t>
      </w:r>
      <w:r>
        <w:rPr>
          <w:rFonts w:hint="eastAsia" w:asciiTheme="minorEastAsia" w:hAnsiTheme="minorEastAsia" w:eastAsiaTheme="minorEastAsia"/>
          <w:sz w:val="24"/>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3D9292B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14.4相关说明。</w:t>
      </w:r>
    </w:p>
    <w:p w14:paraId="261EBDC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14.4.1为保证磋商活动顺利进行，供应商可派相关技术人员进行网上答疑； </w:t>
      </w:r>
    </w:p>
    <w:p w14:paraId="36396BB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14.4.2磋</w:t>
      </w:r>
      <w:r>
        <w:rPr>
          <w:rFonts w:asciiTheme="minorEastAsia" w:hAnsiTheme="minorEastAsia" w:eastAsiaTheme="minorEastAsia"/>
          <w:sz w:val="24"/>
        </w:rPr>
        <w:t>商小组根据与</w:t>
      </w:r>
      <w:r>
        <w:rPr>
          <w:rFonts w:hint="eastAsia" w:asciiTheme="minorEastAsia" w:hAnsiTheme="minorEastAsia" w:eastAsiaTheme="minorEastAsia"/>
          <w:sz w:val="24"/>
        </w:rPr>
        <w:t>供应商</w:t>
      </w:r>
      <w:r>
        <w:rPr>
          <w:rFonts w:asciiTheme="minorEastAsia" w:hAnsiTheme="minorEastAsia" w:eastAsiaTheme="minorEastAsia"/>
          <w:sz w:val="24"/>
        </w:rPr>
        <w:t>磋商情况可能实质性变动</w:t>
      </w:r>
      <w:r>
        <w:rPr>
          <w:rFonts w:hint="eastAsia" w:asciiTheme="minorEastAsia" w:hAnsiTheme="minorEastAsia" w:eastAsiaTheme="minorEastAsia"/>
          <w:sz w:val="24"/>
        </w:rPr>
        <w:t>磋商文件</w:t>
      </w:r>
      <w:r>
        <w:rPr>
          <w:rFonts w:asciiTheme="minorEastAsia" w:hAnsiTheme="minorEastAsia" w:eastAsiaTheme="minorEastAsia"/>
          <w:sz w:val="24"/>
        </w:rPr>
        <w:t>的内容，包括采购需求中的技术、服务要求以及合同草案条款。磋商文件有实质性变动的，</w:t>
      </w:r>
      <w:r>
        <w:rPr>
          <w:rFonts w:hint="eastAsia" w:asciiTheme="minorEastAsia" w:hAnsiTheme="minorEastAsia" w:eastAsiaTheme="minorEastAsia"/>
          <w:sz w:val="24"/>
        </w:rPr>
        <w:t>经采购人代表确认作为磋商文件的有效组成部分，</w:t>
      </w:r>
      <w:r>
        <w:rPr>
          <w:rFonts w:asciiTheme="minorEastAsia" w:hAnsiTheme="minorEastAsia" w:eastAsiaTheme="minorEastAsia"/>
          <w:sz w:val="24"/>
        </w:rPr>
        <w:t>磋商小组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以书面形式通知所有参加磋商的供应商。</w:t>
      </w:r>
    </w:p>
    <w:p w14:paraId="22E0748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sz w:val="24"/>
        </w:rPr>
        <w:t>响应无效</w:t>
      </w:r>
      <w:r>
        <w:rPr>
          <w:rFonts w:hint="eastAsia" w:asciiTheme="minorEastAsia" w:hAnsiTheme="minorEastAsia" w:eastAsiaTheme="minorEastAsia"/>
          <w:sz w:val="24"/>
        </w:rPr>
        <w:t>。</w:t>
      </w:r>
    </w:p>
    <w:p w14:paraId="228AFF3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14.4.4</w:t>
      </w:r>
      <w:r>
        <w:rPr>
          <w:rFonts w:asciiTheme="minorEastAsia" w:hAnsiTheme="minorEastAsia" w:eastAsiaTheme="minorEastAsia"/>
          <w:sz w:val="24"/>
        </w:rPr>
        <w:t>无论何种原因，即使供应商</w:t>
      </w:r>
      <w:r>
        <w:rPr>
          <w:rFonts w:hint="eastAsia" w:asciiTheme="minorEastAsia" w:hAnsiTheme="minorEastAsia" w:eastAsiaTheme="minorEastAsia"/>
          <w:sz w:val="24"/>
        </w:rPr>
        <w:t>磋商</w:t>
      </w:r>
      <w:r>
        <w:rPr>
          <w:rFonts w:asciiTheme="minorEastAsia" w:hAnsiTheme="minorEastAsia" w:eastAsiaTheme="minorEastAsia"/>
          <w:sz w:val="24"/>
        </w:rPr>
        <w:t>时携带了证书材料的原件，但响应文件中未提供与之内容完全一致的</w:t>
      </w:r>
      <w:r>
        <w:rPr>
          <w:rFonts w:hint="eastAsia" w:asciiTheme="minorEastAsia" w:hAnsiTheme="minorEastAsia" w:eastAsiaTheme="minorEastAsia"/>
          <w:sz w:val="24"/>
          <w:lang w:val="en-US" w:eastAsia="zh-CN"/>
        </w:rPr>
        <w:t>材料</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小组可以视同其未提供。</w:t>
      </w:r>
    </w:p>
    <w:p w14:paraId="5722481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14.4.5磋商</w:t>
      </w:r>
      <w:r>
        <w:rPr>
          <w:rFonts w:asciiTheme="minorEastAsia" w:hAnsiTheme="minorEastAsia" w:eastAsiaTheme="minorEastAsia"/>
          <w:sz w:val="24"/>
        </w:rPr>
        <w:t>小组决定响应文件的响应性及符合性只根据响应文件本身的内容，而不寻求其他外部证据。</w:t>
      </w:r>
    </w:p>
    <w:p w14:paraId="54DF992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rPr>
        <w:t>磋商过程</w:t>
      </w:r>
      <w:r>
        <w:rPr>
          <w:rFonts w:asciiTheme="minorEastAsia" w:hAnsiTheme="minorEastAsia" w:eastAsiaTheme="minorEastAsia"/>
          <w:sz w:val="24"/>
        </w:rPr>
        <w:t>有疑义，以及认为采购人、采购代理机构相关工作人员有需要回避的情形的，应当场提出询问或者回避申请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14:paraId="39AB6F4E">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.终止竞争性磋商</w:t>
      </w:r>
    </w:p>
    <w:p w14:paraId="1431DE4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15.1出现下列情况之一时，采购人和采购代理机构有权宣布终止竞争性磋商采购，并将理由通知所有供应商：</w:t>
      </w:r>
    </w:p>
    <w:p w14:paraId="0429001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14:paraId="7ED7686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5E2A4FD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4DE9CD9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（4）政府采购法律法规规定的其他情形。</w:t>
      </w:r>
    </w:p>
    <w:p w14:paraId="55B6AA2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16</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0C58BB35">
      <w:pPr>
        <w:spacing w:line="360" w:lineRule="auto"/>
        <w:ind w:firstLine="470" w:firstLineChars="196"/>
        <w:rPr>
          <w:rFonts w:ascii="宋体" w:hAnsi="宋体" w:eastAsia="宋体"/>
          <w:sz w:val="24"/>
        </w:rPr>
      </w:pPr>
      <w:r>
        <w:rPr>
          <w:rFonts w:hint="eastAsia" w:ascii="宋体" w:hAnsi="宋体" w:eastAsia="宋体"/>
          <w:sz w:val="24"/>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629C4CE">
      <w:pPr>
        <w:spacing w:line="360" w:lineRule="auto"/>
        <w:ind w:firstLine="470" w:firstLineChars="196"/>
        <w:rPr>
          <w:rFonts w:ascii="宋体" w:hAnsi="宋体" w:eastAsia="宋体"/>
          <w:sz w:val="24"/>
        </w:rPr>
      </w:pPr>
      <w:r>
        <w:rPr>
          <w:rFonts w:hint="eastAsia" w:ascii="宋体" w:hAnsi="宋体" w:eastAsia="宋体"/>
          <w:sz w:val="24"/>
        </w:rPr>
        <w:t>16.2磋商小组要求供应商澄清、说明或者更正响应文件应当以书面形式（询标）作出。供应商的澄清、说明或者更正应当由法定代表人或其授权代表签字或者加盖公章（电子签章）。</w:t>
      </w:r>
    </w:p>
    <w:p w14:paraId="34D4D067">
      <w:pPr>
        <w:spacing w:line="360" w:lineRule="auto"/>
        <w:ind w:firstLine="435"/>
        <w:rPr>
          <w:rFonts w:ascii="宋体" w:hAnsi="宋体" w:eastAsia="宋体"/>
          <w:sz w:val="24"/>
        </w:rPr>
      </w:pPr>
      <w:r>
        <w:rPr>
          <w:rFonts w:hint="eastAsia" w:ascii="宋体" w:hAnsi="宋体" w:eastAsia="宋体"/>
          <w:b/>
          <w:sz w:val="24"/>
        </w:rPr>
        <w:t>如有询标，授权代表（或法定代表人）可凭本人有效身份证明参加询标。因授权代表联系不上</w:t>
      </w:r>
      <w:r>
        <w:rPr>
          <w:rFonts w:hint="eastAsia" w:ascii="宋体" w:hAnsi="宋体" w:eastAsia="宋体"/>
          <w:b/>
          <w:bCs/>
          <w:sz w:val="24"/>
        </w:rPr>
        <w:t>、不在现场等情形</w:t>
      </w:r>
      <w:r>
        <w:rPr>
          <w:rFonts w:hint="eastAsia" w:ascii="宋体" w:hAnsi="宋体" w:eastAsia="宋体"/>
          <w:b/>
          <w:sz w:val="24"/>
        </w:rPr>
        <w:t>而无法接受磋商小组询标的，供应商自行承担相关风险。</w:t>
      </w:r>
    </w:p>
    <w:p w14:paraId="28CCA9E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.最后报价</w:t>
      </w:r>
    </w:p>
    <w:p w14:paraId="7CFC970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w:t>
      </w:r>
      <w:r>
        <w:rPr>
          <w:rFonts w:asciiTheme="minorEastAsia" w:hAnsiTheme="minorEastAsia" w:eastAsiaTheme="minorEastAsia"/>
          <w:sz w:val="24"/>
        </w:rPr>
        <w:t>磋商并不限定只进行二轮报价，如果磋商小组认为有必要，可以要求供应商进行多轮报价。</w:t>
      </w:r>
    </w:p>
    <w:p w14:paraId="121035F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w:t>
      </w:r>
      <w:r>
        <w:rPr>
          <w:rFonts w:asciiTheme="minorEastAsia" w:hAnsiTheme="minorEastAsia" w:eastAsiaTheme="minorEastAsia"/>
          <w:sz w:val="24"/>
        </w:rPr>
        <w:t>在磋商内容不做实质性变更或重大调整的前提下，供应商下轮报价不得高于上一轮报价</w:t>
      </w:r>
      <w:r>
        <w:rPr>
          <w:rFonts w:hint="eastAsia" w:asciiTheme="minorEastAsia" w:hAnsiTheme="minorEastAsia" w:eastAsiaTheme="minorEastAsia"/>
          <w:sz w:val="24"/>
        </w:rPr>
        <w:t>。</w:t>
      </w:r>
    </w:p>
    <w:p w14:paraId="4D7E1D8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17.3</w:t>
      </w:r>
      <w:r>
        <w:rPr>
          <w:rFonts w:asciiTheme="minorEastAsia" w:hAnsiTheme="minorEastAsia" w:eastAsiaTheme="minorEastAsia"/>
          <w:sz w:val="24"/>
        </w:rPr>
        <w:t>最后报价是供应商响应文件的有效组成部分，最后报价也是签订合同的依据。</w:t>
      </w:r>
    </w:p>
    <w:p w14:paraId="0D794EE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结束后，磋商小组应当要求所有实质性响应的供应商在规定时间内提交最后报价（最后报价要求：①如果实质性变动技术、服务要求以及合同草案条款内容，该报价可大于或等于或小于原提交响应文件中的报价，但不得高于最高限价；②如果未实质性变动技术、服务要求以及合同草案条款内容，该报价可等于或小于原提交响应文件中的报价；③无论最后报价属于哪种情形，最终是否认可的权利属于磋商小组。已提交响应文件的供应商，在提交最后报价之前，可以根据磋商情况退出磋商。</w:t>
      </w:r>
    </w:p>
    <w:p w14:paraId="1E33D488">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14:paraId="788FF9C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w:t>
      </w:r>
      <w:r>
        <w:rPr>
          <w:rFonts w:hint="eastAsia" w:asciiTheme="minorEastAsia" w:hAnsiTheme="minorEastAsia" w:eastAsiaTheme="minorEastAsia"/>
          <w:sz w:val="24"/>
        </w:rPr>
        <w:t>1磋商小组</w:t>
      </w:r>
      <w:r>
        <w:rPr>
          <w:rFonts w:asciiTheme="minorEastAsia" w:hAnsiTheme="minorEastAsia" w:eastAsiaTheme="minorEastAsia"/>
          <w:sz w:val="24"/>
        </w:rPr>
        <w:t>依据本项目</w:t>
      </w:r>
      <w:r>
        <w:rPr>
          <w:rFonts w:hint="eastAsia" w:asciiTheme="minorEastAsia" w:hAnsiTheme="minorEastAsia" w:eastAsiaTheme="minorEastAsia"/>
          <w:sz w:val="24"/>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0FC172F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230E1686">
      <w:pPr>
        <w:spacing w:line="360" w:lineRule="auto"/>
        <w:ind w:firstLine="470" w:firstLineChars="196"/>
        <w:rPr>
          <w:rFonts w:ascii="宋体" w:hAnsi="宋体" w:eastAsia="宋体"/>
          <w:sz w:val="24"/>
        </w:rPr>
      </w:pPr>
      <w:r>
        <w:rPr>
          <w:rFonts w:hint="eastAsia" w:ascii="宋体" w:hAnsi="宋体" w:eastAsia="宋体"/>
          <w:sz w:val="24"/>
        </w:rPr>
        <w:t>19.1磋商小组根据综合评分的结果和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ascii="宋体" w:hAnsi="宋体" w:eastAsia="宋体"/>
          <w:sz w:val="24"/>
        </w:rPr>
        <w:t>确定成交候选供应商，并标明排列顺序。</w:t>
      </w:r>
      <w:r>
        <w:rPr>
          <w:rFonts w:hint="eastAsia" w:asciiTheme="minorEastAsia" w:hAnsiTheme="minorEastAsia" w:eastAsiaTheme="minorEastAsia"/>
          <w:sz w:val="24"/>
        </w:rPr>
        <w:t>按</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w:t>
      </w:r>
      <w:r>
        <w:rPr>
          <w:rFonts w:hint="eastAsia" w:asciiTheme="minorEastAsia" w:hAnsiTheme="minorEastAsia" w:eastAsiaTheme="minorEastAsia"/>
          <w:sz w:val="24"/>
        </w:rPr>
        <w:t>磋商小组</w:t>
      </w:r>
      <w:r>
        <w:rPr>
          <w:rFonts w:asciiTheme="minorEastAsia" w:hAnsiTheme="minorEastAsia" w:eastAsiaTheme="minorEastAsia"/>
          <w:sz w:val="24"/>
        </w:rPr>
        <w:t>或采购人确定</w:t>
      </w:r>
      <w:r>
        <w:rPr>
          <w:rFonts w:hint="eastAsia" w:asciiTheme="minorEastAsia" w:hAnsiTheme="minorEastAsia" w:eastAsiaTheme="minorEastAsia"/>
          <w:sz w:val="24"/>
        </w:rPr>
        <w:t>成交供应商</w:t>
      </w:r>
      <w:r>
        <w:rPr>
          <w:rFonts w:asciiTheme="minorEastAsia" w:hAnsiTheme="minorEastAsia" w:eastAsiaTheme="minorEastAsia"/>
          <w:sz w:val="24"/>
        </w:rPr>
        <w:t>。</w:t>
      </w:r>
    </w:p>
    <w:p w14:paraId="6324B13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.编写评审报告</w:t>
      </w:r>
    </w:p>
    <w:p w14:paraId="6DA94AA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978069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27F7C5CB">
      <w:pPr>
        <w:spacing w:line="360" w:lineRule="auto"/>
        <w:ind w:firstLine="435"/>
        <w:rPr>
          <w:rFonts w:ascii="宋体" w:hAnsi="宋体" w:eastAsia="宋体"/>
          <w:sz w:val="24"/>
        </w:rPr>
      </w:pPr>
      <w:r>
        <w:rPr>
          <w:rFonts w:hint="eastAsia" w:ascii="宋体" w:hAnsi="宋体" w:eastAsia="宋体"/>
          <w:sz w:val="24"/>
        </w:rPr>
        <w:t>21.1评审将在严格保密的情况下进行。</w:t>
      </w:r>
    </w:p>
    <w:p w14:paraId="7876367F">
      <w:pPr>
        <w:spacing w:line="360" w:lineRule="auto"/>
        <w:ind w:firstLine="435"/>
        <w:rPr>
          <w:rFonts w:ascii="宋体" w:hAnsi="宋体" w:eastAsia="宋体"/>
          <w:sz w:val="24"/>
        </w:rPr>
      </w:pPr>
      <w:r>
        <w:rPr>
          <w:rFonts w:hint="eastAsia" w:ascii="宋体" w:hAnsi="宋体" w:eastAsia="宋体"/>
          <w:sz w:val="24"/>
        </w:rPr>
        <w:t>21.2有关人员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67565F3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.成交结果公告</w:t>
      </w:r>
    </w:p>
    <w:p w14:paraId="010AA94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.1为体现“公开、公平、公正”的原则，磋商结束后，</w:t>
      </w:r>
      <w:r>
        <w:rPr>
          <w:rFonts w:hint="eastAsia" w:ascii="宋体" w:hAnsi="宋体" w:eastAsia="宋体"/>
          <w:sz w:val="24"/>
          <w:szCs w:val="18"/>
        </w:rPr>
        <w:t>采购代理机构将在滁州市自然资源勘测规划研究院有限公司网站（http://cztdkcy.com/）</w:t>
      </w:r>
      <w:r>
        <w:rPr>
          <w:rFonts w:asciiTheme="minorEastAsia" w:hAnsiTheme="minorEastAsia" w:eastAsiaTheme="minorEastAsia"/>
          <w:sz w:val="24"/>
        </w:rPr>
        <w:t>上发布成交结果公告。</w:t>
      </w:r>
    </w:p>
    <w:p w14:paraId="6887D47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中约定进行公告的内容。</w:t>
      </w:r>
    </w:p>
    <w:p w14:paraId="1353CF68">
      <w:pPr>
        <w:spacing w:line="360" w:lineRule="auto"/>
        <w:ind w:firstLine="437"/>
        <w:outlineLvl w:val="2"/>
        <w:rPr>
          <w:rFonts w:ascii="宋体" w:hAnsi="宋体" w:eastAsia="宋体"/>
          <w:b/>
          <w:sz w:val="24"/>
        </w:rPr>
      </w:pPr>
      <w:r>
        <w:rPr>
          <w:rFonts w:hint="eastAsia" w:ascii="宋体" w:hAnsi="宋体" w:eastAsia="宋体"/>
          <w:b/>
          <w:sz w:val="24"/>
        </w:rPr>
        <w:t>23</w:t>
      </w:r>
      <w:r>
        <w:rPr>
          <w:rFonts w:ascii="宋体" w:hAnsi="宋体" w:eastAsia="宋体"/>
          <w:b/>
          <w:sz w:val="24"/>
        </w:rPr>
        <w:t>.成交</w:t>
      </w:r>
      <w:r>
        <w:rPr>
          <w:rFonts w:asciiTheme="minorEastAsia" w:hAnsiTheme="minorEastAsia" w:eastAsiaTheme="minorEastAsia"/>
          <w:b/>
          <w:sz w:val="24"/>
        </w:rPr>
        <w:t>通知书</w:t>
      </w:r>
    </w:p>
    <w:p w14:paraId="71D9CCDF">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.1采购代理机构发布成交结果公告的同时</w:t>
      </w:r>
      <w:r>
        <w:rPr>
          <w:rFonts w:asciiTheme="minorEastAsia" w:hAnsiTheme="minorEastAsia" w:eastAsiaTheme="minorEastAsia"/>
          <w:sz w:val="24"/>
        </w:rPr>
        <w:t>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ascii="宋体" w:hAnsi="宋体" w:eastAsia="宋体"/>
          <w:sz w:val="24"/>
        </w:rPr>
        <w:t>向成交供应商发出成交通知书。</w:t>
      </w:r>
    </w:p>
    <w:p w14:paraId="4145DD53">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14:paraId="42ABA586">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.3成交通知书是合同的组成部分。</w:t>
      </w:r>
    </w:p>
    <w:p w14:paraId="65A59476">
      <w:pPr>
        <w:spacing w:line="360" w:lineRule="auto"/>
        <w:ind w:firstLine="437"/>
        <w:outlineLvl w:val="2"/>
        <w:rPr>
          <w:rFonts w:ascii="宋体" w:hAnsi="宋体" w:eastAsia="宋体"/>
          <w:b/>
          <w:sz w:val="24"/>
        </w:rPr>
      </w:pPr>
      <w:r>
        <w:rPr>
          <w:rFonts w:hint="eastAsia" w:ascii="宋体" w:hAnsi="宋体" w:eastAsia="宋体"/>
          <w:b/>
          <w:sz w:val="24"/>
        </w:rPr>
        <w:t>24</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14:paraId="10037BB6">
      <w:pPr>
        <w:spacing w:line="360" w:lineRule="auto"/>
        <w:ind w:firstLine="435"/>
        <w:rPr>
          <w:rFonts w:ascii="宋体" w:hAnsi="宋体" w:eastAsia="宋体"/>
          <w:sz w:val="24"/>
        </w:rPr>
      </w:pPr>
      <w:r>
        <w:rPr>
          <w:rFonts w:hint="eastAsia" w:ascii="宋体" w:hAnsi="宋体" w:eastAsia="宋体"/>
          <w:sz w:val="24"/>
        </w:rPr>
        <w:t>24</w:t>
      </w:r>
      <w:r>
        <w:rPr>
          <w:rFonts w:ascii="宋体" w:hAnsi="宋体" w:eastAsia="宋体"/>
          <w:sz w:val="24"/>
        </w:rPr>
        <w:t>.1在公告</w:t>
      </w:r>
      <w:r>
        <w:rPr>
          <w:rFonts w:hint="eastAsia" w:ascii="宋体" w:hAnsi="宋体" w:eastAsia="宋体"/>
          <w:sz w:val="24"/>
        </w:rPr>
        <w:t>成交</w:t>
      </w:r>
      <w:r>
        <w:rPr>
          <w:rFonts w:ascii="宋体" w:hAnsi="宋体" w:eastAsia="宋体"/>
          <w:sz w:val="24"/>
        </w:rPr>
        <w:t>结果的同时，采购代理机构同时以</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规定的形式告知未</w:t>
      </w:r>
      <w:r>
        <w:rPr>
          <w:rFonts w:hint="eastAsia" w:ascii="宋体" w:hAnsi="宋体" w:eastAsia="宋体"/>
          <w:sz w:val="24"/>
        </w:rPr>
        <w:t>成交供应商</w:t>
      </w:r>
      <w:r>
        <w:rPr>
          <w:rFonts w:ascii="宋体" w:hAnsi="宋体" w:eastAsia="宋体"/>
          <w:sz w:val="24"/>
        </w:rPr>
        <w:t>本人的评审得分和排序。</w:t>
      </w:r>
    </w:p>
    <w:p w14:paraId="5E6DE498">
      <w:pPr>
        <w:spacing w:line="360" w:lineRule="auto"/>
        <w:ind w:firstLine="480" w:firstLineChars="200"/>
        <w:rPr>
          <w:rFonts w:ascii="宋体" w:hAnsi="宋体" w:eastAsia="宋体"/>
          <w:sz w:val="24"/>
        </w:rPr>
      </w:pPr>
      <w:r>
        <w:rPr>
          <w:rFonts w:hint="eastAsia" w:ascii="宋体" w:hAnsi="宋体" w:eastAsia="宋体"/>
          <w:sz w:val="24"/>
        </w:rPr>
        <w:t>24</w:t>
      </w:r>
      <w:r>
        <w:rPr>
          <w:rFonts w:ascii="宋体" w:hAnsi="宋体" w:eastAsia="宋体"/>
          <w:sz w:val="24"/>
        </w:rPr>
        <w:t>.</w:t>
      </w:r>
      <w:r>
        <w:rPr>
          <w:rFonts w:hint="eastAsia" w:ascii="宋体" w:hAnsi="宋体" w:eastAsia="宋体"/>
          <w:sz w:val="24"/>
        </w:rPr>
        <w:t>2</w:t>
      </w:r>
      <w:r>
        <w:rPr>
          <w:rFonts w:ascii="宋体" w:hAnsi="宋体" w:eastAsia="宋体"/>
          <w:sz w:val="24"/>
        </w:rPr>
        <w:t>采购代理机构对未成交的供应商不做未成交原因的解释。</w:t>
      </w:r>
    </w:p>
    <w:p w14:paraId="5E27CECE">
      <w:pPr>
        <w:spacing w:line="360" w:lineRule="auto"/>
        <w:ind w:firstLine="437"/>
        <w:outlineLvl w:val="2"/>
        <w:rPr>
          <w:rFonts w:ascii="宋体" w:hAnsi="宋体" w:eastAsia="宋体"/>
          <w:b/>
          <w:sz w:val="24"/>
        </w:rPr>
      </w:pPr>
      <w:r>
        <w:rPr>
          <w:rFonts w:hint="eastAsia" w:ascii="宋体" w:hAnsi="宋体" w:eastAsia="宋体"/>
          <w:b/>
          <w:sz w:val="24"/>
        </w:rPr>
        <w:t>25</w:t>
      </w:r>
      <w:r>
        <w:rPr>
          <w:rFonts w:ascii="宋体" w:hAnsi="宋体" w:eastAsia="宋体"/>
          <w:b/>
          <w:sz w:val="24"/>
        </w:rPr>
        <w:t>.履约保证金</w:t>
      </w:r>
    </w:p>
    <w:p w14:paraId="5061E86E">
      <w:pPr>
        <w:spacing w:line="360" w:lineRule="auto"/>
        <w:ind w:firstLine="435"/>
        <w:rPr>
          <w:rFonts w:ascii="宋体" w:hAnsi="宋体" w:eastAsia="宋体"/>
          <w:sz w:val="24"/>
        </w:rPr>
      </w:pPr>
      <w:r>
        <w:rPr>
          <w:rFonts w:hint="eastAsia" w:ascii="宋体" w:hAnsi="宋体" w:eastAsia="宋体"/>
          <w:sz w:val="24"/>
        </w:rPr>
        <w:t>25</w:t>
      </w:r>
      <w:r>
        <w:rPr>
          <w:rFonts w:ascii="宋体" w:hAnsi="宋体" w:eastAsia="宋体"/>
          <w:sz w:val="24"/>
        </w:rPr>
        <w:t>.1成交供应商应按照</w:t>
      </w:r>
      <w:r>
        <w:rPr>
          <w:rFonts w:ascii="宋体" w:hAnsi="宋体" w:eastAsia="宋体"/>
          <w:sz w:val="24"/>
          <w:u w:val="single"/>
        </w:rPr>
        <w:t>供应商须知前附表</w:t>
      </w:r>
      <w:r>
        <w:rPr>
          <w:rFonts w:ascii="宋体" w:hAnsi="宋体" w:eastAsia="宋体"/>
          <w:sz w:val="24"/>
        </w:rPr>
        <w:t>规定</w:t>
      </w:r>
      <w:r>
        <w:rPr>
          <w:rFonts w:hint="eastAsia" w:ascii="宋体" w:hAnsi="宋体" w:eastAsia="宋体"/>
          <w:sz w:val="24"/>
        </w:rPr>
        <w:t>缴纳</w:t>
      </w:r>
      <w:r>
        <w:rPr>
          <w:rFonts w:ascii="宋体" w:hAnsi="宋体" w:eastAsia="宋体"/>
          <w:sz w:val="24"/>
        </w:rPr>
        <w:t>履约保证金。</w:t>
      </w:r>
    </w:p>
    <w:p w14:paraId="52B4A1A1">
      <w:pPr>
        <w:spacing w:line="360" w:lineRule="auto"/>
        <w:ind w:firstLine="435"/>
        <w:rPr>
          <w:rFonts w:ascii="宋体" w:hAnsi="宋体" w:eastAsia="宋体"/>
          <w:sz w:val="24"/>
        </w:rPr>
      </w:pPr>
      <w:r>
        <w:rPr>
          <w:rFonts w:hint="eastAsia" w:ascii="宋体" w:hAnsi="宋体" w:eastAsia="宋体"/>
          <w:sz w:val="24"/>
        </w:rPr>
        <w:t>25</w:t>
      </w:r>
      <w:r>
        <w:rPr>
          <w:rFonts w:ascii="宋体" w:hAnsi="宋体" w:eastAsia="宋体"/>
          <w:sz w:val="24"/>
        </w:rPr>
        <w:t>.2如果成交供应商没有按照上述履约保证金的规定执行，将视为放弃成交资格。在此情况下，采购人可确定下一成交候选供应商为成交供应商，也可以重新开展采购活动。</w:t>
      </w:r>
    </w:p>
    <w:p w14:paraId="53781399">
      <w:pPr>
        <w:spacing w:line="360" w:lineRule="auto"/>
        <w:ind w:firstLine="437"/>
        <w:outlineLvl w:val="2"/>
        <w:rPr>
          <w:rFonts w:ascii="宋体" w:hAnsi="宋体" w:eastAsia="宋体"/>
          <w:b/>
          <w:sz w:val="24"/>
        </w:rPr>
      </w:pPr>
      <w:r>
        <w:rPr>
          <w:rFonts w:hint="eastAsia" w:ascii="宋体" w:hAnsi="宋体" w:eastAsia="宋体"/>
          <w:b/>
          <w:sz w:val="24"/>
        </w:rPr>
        <w:t>26</w:t>
      </w:r>
      <w:r>
        <w:rPr>
          <w:rFonts w:ascii="宋体" w:hAnsi="宋体" w:eastAsia="宋体"/>
          <w:b/>
          <w:sz w:val="24"/>
        </w:rPr>
        <w:t>.</w:t>
      </w:r>
      <w:r>
        <w:rPr>
          <w:rFonts w:hint="eastAsia" w:ascii="宋体" w:hAnsi="宋体" w:eastAsia="宋体"/>
          <w:b/>
          <w:sz w:val="24"/>
        </w:rPr>
        <w:t>代理费用</w:t>
      </w:r>
    </w:p>
    <w:p w14:paraId="33E6F47D">
      <w:pPr>
        <w:spacing w:line="360" w:lineRule="auto"/>
        <w:ind w:firstLine="435"/>
        <w:rPr>
          <w:rFonts w:ascii="宋体" w:hAnsi="宋体" w:eastAsia="宋体"/>
          <w:sz w:val="24"/>
        </w:rPr>
      </w:pPr>
      <w:r>
        <w:rPr>
          <w:rFonts w:hint="eastAsia" w:ascii="宋体" w:hAnsi="宋体" w:eastAsia="宋体"/>
          <w:sz w:val="24"/>
        </w:rPr>
        <w:t>26</w:t>
      </w:r>
      <w:r>
        <w:rPr>
          <w:rFonts w:ascii="宋体" w:hAnsi="宋体" w:eastAsia="宋体"/>
          <w:sz w:val="24"/>
        </w:rPr>
        <w:t>.1本项目</w:t>
      </w:r>
      <w:r>
        <w:rPr>
          <w:rFonts w:hint="eastAsia" w:ascii="宋体" w:hAnsi="宋体" w:eastAsia="宋体"/>
          <w:sz w:val="24"/>
        </w:rPr>
        <w:t>代理费用</w:t>
      </w:r>
      <w:r>
        <w:rPr>
          <w:rFonts w:ascii="宋体" w:hAnsi="宋体" w:eastAsia="宋体"/>
          <w:sz w:val="24"/>
        </w:rPr>
        <w:t>的收取按</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的规定执行。</w:t>
      </w:r>
    </w:p>
    <w:p w14:paraId="6F214F37">
      <w:pPr>
        <w:spacing w:line="360" w:lineRule="auto"/>
        <w:ind w:firstLine="437"/>
        <w:outlineLvl w:val="2"/>
        <w:rPr>
          <w:rFonts w:ascii="宋体" w:hAnsi="宋体" w:eastAsia="宋体"/>
          <w:b/>
          <w:sz w:val="24"/>
        </w:rPr>
      </w:pPr>
      <w:r>
        <w:rPr>
          <w:rFonts w:hint="eastAsia" w:ascii="宋体" w:hAnsi="宋体" w:eastAsia="宋体"/>
          <w:b/>
          <w:sz w:val="24"/>
        </w:rPr>
        <w:t>27</w:t>
      </w:r>
      <w:r>
        <w:rPr>
          <w:rFonts w:ascii="宋体" w:hAnsi="宋体" w:eastAsia="宋体"/>
          <w:b/>
          <w:sz w:val="24"/>
        </w:rPr>
        <w:t>.签订</w:t>
      </w:r>
      <w:r>
        <w:rPr>
          <w:rFonts w:asciiTheme="minorEastAsia" w:hAnsiTheme="minorEastAsia" w:eastAsiaTheme="minorEastAsia"/>
          <w:b/>
          <w:sz w:val="24"/>
        </w:rPr>
        <w:t>合同</w:t>
      </w:r>
    </w:p>
    <w:p w14:paraId="3777F5F7">
      <w:pPr>
        <w:spacing w:line="360" w:lineRule="auto"/>
        <w:ind w:firstLine="435"/>
        <w:rPr>
          <w:rFonts w:ascii="宋体" w:hAnsi="宋体" w:eastAsia="宋体"/>
          <w:sz w:val="24"/>
        </w:rPr>
      </w:pPr>
      <w:r>
        <w:rPr>
          <w:rFonts w:hint="eastAsia" w:ascii="宋体" w:hAnsi="宋体" w:eastAsia="宋体"/>
          <w:sz w:val="24"/>
        </w:rPr>
        <w:t>27</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规定的时间内完成政府采购合同签订及合同公告。</w:t>
      </w:r>
    </w:p>
    <w:p w14:paraId="469AC77C">
      <w:pPr>
        <w:spacing w:line="360" w:lineRule="auto"/>
        <w:ind w:firstLine="435"/>
        <w:rPr>
          <w:rFonts w:ascii="宋体" w:hAnsi="宋体" w:eastAsia="宋体"/>
          <w:sz w:val="24"/>
        </w:rPr>
      </w:pPr>
      <w:r>
        <w:rPr>
          <w:rFonts w:hint="eastAsia" w:ascii="宋体" w:hAnsi="宋体" w:eastAsia="宋体"/>
          <w:sz w:val="24"/>
        </w:rPr>
        <w:t>27</w:t>
      </w:r>
      <w:r>
        <w:rPr>
          <w:rFonts w:ascii="宋体" w:hAnsi="宋体" w:eastAsia="宋体"/>
          <w:sz w:val="24"/>
        </w:rPr>
        <w:t>.2磋商文件、成交供应商的响应文件及其澄清文件等，均为签订合同的依据。</w:t>
      </w:r>
    </w:p>
    <w:p w14:paraId="3A3E9B81">
      <w:pPr>
        <w:spacing w:line="360" w:lineRule="auto"/>
        <w:ind w:firstLine="470" w:firstLineChars="196"/>
        <w:rPr>
          <w:rFonts w:ascii="宋体" w:hAnsi="宋体" w:eastAsia="宋体"/>
          <w:sz w:val="24"/>
        </w:rPr>
      </w:pPr>
      <w:r>
        <w:rPr>
          <w:rFonts w:hint="eastAsia" w:ascii="宋体" w:hAnsi="宋体" w:eastAsia="宋体"/>
          <w:sz w:val="24"/>
        </w:rPr>
        <w:t>27</w:t>
      </w:r>
      <w:r>
        <w:rPr>
          <w:rFonts w:ascii="宋体" w:hAnsi="宋体" w:eastAsia="宋体"/>
          <w:sz w:val="24"/>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sz w:val="24"/>
        </w:rPr>
        <w:t>成交供应商拒绝签订政府采购合同的不得参加对该项目重新开展的采购活动。</w:t>
      </w:r>
    </w:p>
    <w:p w14:paraId="5F2C8BD7">
      <w:pPr>
        <w:spacing w:line="360" w:lineRule="auto"/>
        <w:ind w:firstLine="437"/>
        <w:outlineLvl w:val="2"/>
        <w:rPr>
          <w:rFonts w:ascii="宋体" w:hAnsi="宋体" w:eastAsia="宋体"/>
          <w:b/>
          <w:sz w:val="24"/>
        </w:rPr>
      </w:pPr>
      <w:r>
        <w:rPr>
          <w:rFonts w:hint="eastAsia" w:ascii="宋体" w:hAnsi="宋体" w:eastAsia="宋体"/>
          <w:b/>
          <w:sz w:val="24"/>
        </w:rPr>
        <w:t>28</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14:paraId="4701C52A">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.1采购代理机构工作人员不得以不正当手段获取政府采购代理业务，不得与采购人、供应商恶意串通。</w:t>
      </w:r>
    </w:p>
    <w:p w14:paraId="38D6EAC3">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.2采购代理机构工作人员不得接受采购人或者供应商组织的宴请、旅游、娱乐，不得收受礼品、现金、有价证券等，不得向采购人或者供应商报销应当由个人承担的费用。</w:t>
      </w:r>
    </w:p>
    <w:p w14:paraId="3025C5BA">
      <w:pPr>
        <w:spacing w:line="360" w:lineRule="auto"/>
        <w:ind w:firstLine="437"/>
        <w:outlineLvl w:val="2"/>
        <w:rPr>
          <w:rFonts w:ascii="宋体" w:hAnsi="宋体" w:eastAsia="宋体"/>
          <w:b/>
          <w:sz w:val="24"/>
        </w:rPr>
      </w:pPr>
      <w:r>
        <w:rPr>
          <w:rFonts w:hint="eastAsia" w:ascii="宋体" w:hAnsi="宋体" w:eastAsia="宋体"/>
          <w:b/>
          <w:sz w:val="24"/>
        </w:rPr>
        <w:t>29</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14:paraId="7A0EE086">
      <w:pPr>
        <w:spacing w:line="360" w:lineRule="auto"/>
        <w:ind w:firstLine="435"/>
        <w:rPr>
          <w:rFonts w:ascii="宋体" w:hAnsi="宋体" w:eastAsia="宋体"/>
          <w:sz w:val="24"/>
        </w:rPr>
      </w:pPr>
      <w:r>
        <w:rPr>
          <w:rFonts w:hint="eastAsia" w:ascii="宋体" w:hAnsi="宋体" w:eastAsia="宋体"/>
          <w:sz w:val="24"/>
        </w:rPr>
        <w:t>29.1供应商认为磋商文件、采购过程和成交结果使自己的权益受到损害的，可以在知道或者应知其权益受到损害之日起七个工作日内，以书面形式向采购人或其委托的采购代理机构提出质疑。</w:t>
      </w:r>
    </w:p>
    <w:p w14:paraId="20F600D4">
      <w:pPr>
        <w:spacing w:line="360" w:lineRule="auto"/>
        <w:ind w:firstLine="435"/>
        <w:rPr>
          <w:rFonts w:ascii="宋体" w:hAnsi="宋体" w:eastAsia="宋体"/>
          <w:sz w:val="24"/>
        </w:rPr>
      </w:pPr>
      <w:r>
        <w:rPr>
          <w:rFonts w:hint="eastAsia" w:ascii="宋体" w:hAnsi="宋体" w:eastAsia="宋体"/>
          <w:sz w:val="24"/>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1609CBA7">
      <w:pPr>
        <w:spacing w:line="360" w:lineRule="auto"/>
        <w:ind w:firstLine="435"/>
        <w:rPr>
          <w:rFonts w:ascii="宋体" w:hAnsi="宋体" w:eastAsia="宋体"/>
          <w:sz w:val="24"/>
        </w:rPr>
      </w:pPr>
      <w:r>
        <w:rPr>
          <w:rFonts w:hint="eastAsia" w:ascii="宋体" w:hAnsi="宋体" w:eastAsia="宋体"/>
          <w:sz w:val="24"/>
        </w:rPr>
        <w:t>29.3采购代理机构质疑函接收部门、联系电话和通讯地址，见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14:paraId="3F54895B">
      <w:pPr>
        <w:spacing w:line="360" w:lineRule="auto"/>
        <w:ind w:firstLine="435"/>
        <w:rPr>
          <w:rFonts w:ascii="宋体" w:hAnsi="宋体" w:eastAsia="宋体"/>
          <w:b/>
          <w:sz w:val="24"/>
        </w:rPr>
      </w:pPr>
      <w:r>
        <w:rPr>
          <w:rFonts w:hint="eastAsia" w:ascii="宋体" w:hAnsi="宋体" w:eastAsia="宋体"/>
          <w:sz w:val="24"/>
        </w:rPr>
        <w:t>注：上述条款中所要求的书面形式包含通过电子交易系统递交方式。</w:t>
      </w:r>
    </w:p>
    <w:p w14:paraId="1303A0AF">
      <w:pPr>
        <w:spacing w:line="360" w:lineRule="auto"/>
        <w:ind w:firstLine="437"/>
        <w:outlineLvl w:val="2"/>
        <w:rPr>
          <w:rFonts w:ascii="宋体" w:hAnsi="宋体" w:eastAsia="宋体"/>
          <w:b/>
          <w:sz w:val="24"/>
        </w:rPr>
      </w:pPr>
      <w:r>
        <w:rPr>
          <w:rFonts w:hint="eastAsia" w:ascii="宋体" w:hAnsi="宋体" w:eastAsia="宋体"/>
          <w:b/>
          <w:sz w:val="24"/>
        </w:rPr>
        <w:t>30</w:t>
      </w:r>
      <w:r>
        <w:rPr>
          <w:rFonts w:ascii="宋体" w:hAnsi="宋体" w:eastAsia="宋体"/>
          <w:b/>
          <w:sz w:val="24"/>
        </w:rPr>
        <w:t>.需要</w:t>
      </w:r>
      <w:r>
        <w:rPr>
          <w:rFonts w:asciiTheme="minorEastAsia" w:hAnsiTheme="minorEastAsia" w:eastAsiaTheme="minorEastAsia"/>
          <w:b/>
          <w:sz w:val="24"/>
        </w:rPr>
        <w:t>补充</w:t>
      </w:r>
      <w:r>
        <w:rPr>
          <w:rFonts w:ascii="宋体" w:hAnsi="宋体" w:eastAsia="宋体"/>
          <w:b/>
          <w:sz w:val="24"/>
        </w:rPr>
        <w:t>的其他内容</w:t>
      </w:r>
    </w:p>
    <w:p w14:paraId="797F7C9F">
      <w:pPr>
        <w:spacing w:line="360" w:lineRule="auto"/>
        <w:ind w:firstLine="435"/>
        <w:rPr>
          <w:rFonts w:ascii="宋体" w:hAnsi="宋体" w:eastAsia="宋体"/>
          <w:sz w:val="24"/>
        </w:rPr>
      </w:pPr>
      <w:r>
        <w:rPr>
          <w:rFonts w:hint="eastAsia" w:ascii="宋体" w:hAnsi="宋体" w:eastAsia="宋体"/>
          <w:sz w:val="24"/>
        </w:rPr>
        <w:t>需要补充的其他内容，见</w:t>
      </w:r>
      <w:r>
        <w:rPr>
          <w:rFonts w:hint="eastAsia" w:ascii="宋体" w:hAnsi="宋体" w:eastAsia="宋体"/>
          <w:sz w:val="24"/>
          <w:u w:val="single"/>
        </w:rPr>
        <w:t>供应商须知前附表</w:t>
      </w:r>
      <w:r>
        <w:rPr>
          <w:rFonts w:hint="eastAsia" w:ascii="宋体" w:hAnsi="宋体" w:eastAsia="宋体"/>
          <w:sz w:val="24"/>
        </w:rPr>
        <w:t>。</w:t>
      </w:r>
    </w:p>
    <w:p w14:paraId="509CF45F">
      <w:pPr>
        <w:widowControl/>
        <w:jc w:val="left"/>
        <w:rPr>
          <w:rFonts w:asciiTheme="minorEastAsia" w:hAnsiTheme="minorEastAsia" w:eastAsiaTheme="minorEastAsia"/>
          <w:b/>
          <w:sz w:val="28"/>
        </w:rPr>
      </w:pPr>
      <w:r>
        <w:rPr>
          <w:rFonts w:hint="eastAsia" w:asciiTheme="minorEastAsia" w:hAnsiTheme="minorEastAsia" w:eastAsiaTheme="minorEastAsia"/>
          <w:b/>
          <w:sz w:val="28"/>
        </w:rPr>
        <w:br w:type="page"/>
      </w:r>
    </w:p>
    <w:p w14:paraId="5DFC5D20">
      <w:pPr>
        <w:spacing w:line="360" w:lineRule="auto"/>
        <w:jc w:val="center"/>
        <w:outlineLvl w:val="0"/>
        <w:rPr>
          <w:rFonts w:asciiTheme="minorEastAsia" w:hAnsiTheme="minorEastAsia" w:eastAsiaTheme="minorEastAsia"/>
          <w:b/>
          <w:sz w:val="28"/>
        </w:rPr>
      </w:pPr>
      <w:bookmarkStart w:id="64" w:name="_Toc23422"/>
      <w:r>
        <w:rPr>
          <w:rFonts w:hint="eastAsia" w:asciiTheme="minorEastAsia" w:hAnsiTheme="minorEastAsia" w:eastAsiaTheme="minorEastAsia"/>
          <w:b/>
          <w:sz w:val="28"/>
        </w:rPr>
        <w:t>第三章 采购需求</w:t>
      </w:r>
      <w:bookmarkEnd w:id="64"/>
      <w:bookmarkStart w:id="65" w:name="_Toc5189"/>
    </w:p>
    <w:p w14:paraId="6733DB6B">
      <w:pPr>
        <w:spacing w:line="360" w:lineRule="auto"/>
        <w:outlineLvl w:val="0"/>
        <w:rPr>
          <w:rFonts w:ascii="宋体" w:hAnsi="宋体" w:eastAsia="宋体" w:cs="宋体"/>
          <w:bCs/>
          <w:color w:val="000000"/>
          <w:sz w:val="24"/>
          <w:szCs w:val="24"/>
        </w:rPr>
      </w:pPr>
      <w:r>
        <w:rPr>
          <w:rFonts w:hint="eastAsia" w:ascii="宋体" w:hAnsi="宋体" w:eastAsia="宋体" w:cs="宋体"/>
          <w:bCs/>
          <w:color w:val="000000"/>
          <w:sz w:val="24"/>
          <w:szCs w:val="24"/>
        </w:rPr>
        <w:t>前注：1、本采购需求中提出的服务方案仅为参考，如无明确限制，供应商可以进行优化，提供满足采购人实际需要的更优（或者性能实质上不低于的）服务方案，且此方案须经磋商小组评审认可；</w:t>
      </w:r>
    </w:p>
    <w:p w14:paraId="39878679">
      <w:pPr>
        <w:spacing w:line="360" w:lineRule="auto"/>
        <w:outlineLvl w:val="0"/>
        <w:rPr>
          <w:rFonts w:ascii="宋体" w:hAnsi="宋体" w:eastAsia="宋体" w:cs="宋体"/>
          <w:bCs/>
          <w:color w:val="000000"/>
          <w:sz w:val="24"/>
          <w:szCs w:val="24"/>
        </w:rPr>
      </w:pPr>
      <w:r>
        <w:rPr>
          <w:rFonts w:hint="eastAsia" w:ascii="宋体" w:hAnsi="宋体" w:eastAsia="宋体" w:cs="宋体"/>
          <w:bCs/>
          <w:color w:val="000000"/>
          <w:sz w:val="24"/>
          <w:szCs w:val="24"/>
        </w:rPr>
        <w:t>2、响应供应商应当在响应文件中列出完成本项目并通过验收所需的所有各项服务等明细表及全部费用。成交供应商必须确保整体通过采购人及有关主管部门验收,所发生的验收费用由成交供应商承担；响应供应商应自行勘察项目现场，如响应供应商因未及时勘察现场而导致的报价缺项漏项废标、或成交后无法完工，响应供应商自行承担一切后果；</w:t>
      </w:r>
    </w:p>
    <w:p w14:paraId="20198399">
      <w:pPr>
        <w:spacing w:line="360" w:lineRule="auto"/>
        <w:outlineLvl w:val="0"/>
        <w:rPr>
          <w:rFonts w:ascii="宋体" w:hAnsi="宋体" w:eastAsia="宋体" w:cs="宋体"/>
          <w:bCs/>
          <w:sz w:val="24"/>
          <w:szCs w:val="24"/>
        </w:rPr>
      </w:pPr>
      <w:r>
        <w:rPr>
          <w:rFonts w:hint="eastAsia" w:ascii="宋体" w:hAnsi="宋体" w:eastAsia="宋体" w:cs="宋体"/>
          <w:bCs/>
          <w:color w:val="000000"/>
          <w:sz w:val="24"/>
          <w:szCs w:val="24"/>
        </w:rPr>
        <w:t>3、如对本磋商文件有任何疑问或澄清要求，请按本磋商文件“响应供应商须知前附表”中约定方式联系采购</w:t>
      </w:r>
      <w:r>
        <w:rPr>
          <w:rFonts w:hint="eastAsia" w:ascii="宋体" w:hAnsi="宋体" w:eastAsia="宋体" w:cs="宋体"/>
          <w:bCs/>
          <w:sz w:val="24"/>
          <w:szCs w:val="24"/>
        </w:rPr>
        <w:t>人及其委托的代理机构，或接受答疑截止时间前联系采购人，否则视同理解和接受，开标后采购人及其委托的代理机构不再受理对磋商文件条款提出的质疑。</w:t>
      </w:r>
    </w:p>
    <w:p w14:paraId="64F4C7D8">
      <w:pPr>
        <w:spacing w:line="360" w:lineRule="auto"/>
        <w:ind w:firstLine="437"/>
        <w:outlineLvl w:val="1"/>
        <w:rPr>
          <w:rFonts w:ascii="宋体" w:hAnsi="宋体" w:eastAsia="宋体"/>
          <w:b/>
          <w:sz w:val="24"/>
          <w:szCs w:val="18"/>
        </w:rPr>
      </w:pPr>
      <w:bookmarkStart w:id="66" w:name="_Toc7699"/>
      <w:bookmarkStart w:id="67" w:name="_Toc26349"/>
      <w:r>
        <w:rPr>
          <w:rFonts w:hint="eastAsia" w:ascii="宋体" w:hAnsi="宋体" w:eastAsia="宋体"/>
          <w:b/>
          <w:sz w:val="24"/>
          <w:szCs w:val="18"/>
        </w:rPr>
        <w:t>一、采购需求前附表</w:t>
      </w:r>
      <w:bookmarkEnd w:id="66"/>
      <w:bookmarkEnd w:id="67"/>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338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581726E">
            <w:pPr>
              <w:pStyle w:val="37"/>
            </w:pPr>
            <w:bookmarkStart w:id="68" w:name="_Hlk176362095"/>
            <w:r>
              <w:rPr>
                <w:rFonts w:hint="eastAsia"/>
              </w:rPr>
              <w:t>序号</w:t>
            </w:r>
          </w:p>
        </w:tc>
        <w:tc>
          <w:tcPr>
            <w:tcW w:w="1192" w:type="pct"/>
            <w:vAlign w:val="center"/>
          </w:tcPr>
          <w:p w14:paraId="3401D639">
            <w:pPr>
              <w:pStyle w:val="36"/>
              <w:widowControl w:val="0"/>
              <w:spacing w:before="0" w:beforeAutospacing="0" w:after="0" w:afterAutospacing="0" w:line="360" w:lineRule="auto"/>
              <w:rPr>
                <w:rFonts w:ascii="宋体" w:hAnsi="宋体" w:eastAsia="宋体"/>
                <w:b w:val="0"/>
                <w:bCs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条款名称</w:t>
            </w:r>
          </w:p>
        </w:tc>
        <w:tc>
          <w:tcPr>
            <w:tcW w:w="3217" w:type="pct"/>
            <w:vAlign w:val="center"/>
          </w:tcPr>
          <w:p w14:paraId="40B7170D">
            <w:pPr>
              <w:pStyle w:val="36"/>
              <w:widowControl w:val="0"/>
              <w:spacing w:before="0" w:beforeAutospacing="0" w:after="0" w:afterAutospacing="0" w:line="360" w:lineRule="auto"/>
              <w:rPr>
                <w:rFonts w:ascii="宋体" w:hAnsi="宋体" w:eastAsia="宋体"/>
                <w:b w:val="0"/>
                <w:bCs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内容、说明与要求</w:t>
            </w:r>
          </w:p>
        </w:tc>
      </w:tr>
      <w:tr w14:paraId="1F1E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4DE442F">
            <w:pPr>
              <w:pStyle w:val="37"/>
            </w:pPr>
            <w:r>
              <w:rPr>
                <w:rFonts w:hint="eastAsia"/>
              </w:rPr>
              <w:t>1</w:t>
            </w:r>
          </w:p>
        </w:tc>
        <w:tc>
          <w:tcPr>
            <w:tcW w:w="1192" w:type="pct"/>
            <w:vAlign w:val="center"/>
          </w:tcPr>
          <w:p w14:paraId="1E0F0B94">
            <w:pPr>
              <w:pStyle w:val="36"/>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3217" w:type="pct"/>
            <w:vAlign w:val="center"/>
          </w:tcPr>
          <w:p w14:paraId="25D304E5">
            <w:pPr>
              <w:pStyle w:val="36"/>
              <w:widowControl w:val="0"/>
              <w:spacing w:before="0" w:beforeAutospacing="0" w:after="0" w:afterAutospacing="0" w:line="360" w:lineRule="auto"/>
              <w:jc w:val="left"/>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1.签订合同后15个工作日内，支付项目合同款30%。</w:t>
            </w:r>
          </w:p>
          <w:p w14:paraId="44F25436">
            <w:pPr>
              <w:pStyle w:val="36"/>
              <w:widowControl w:val="0"/>
              <w:spacing w:before="0" w:beforeAutospacing="0" w:after="0" w:afterAutospacing="0" w:line="360" w:lineRule="auto"/>
              <w:jc w:val="left"/>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2.项目上线验收后，支付合同款 50%。</w:t>
            </w:r>
          </w:p>
          <w:p w14:paraId="2E214719">
            <w:pPr>
              <w:pStyle w:val="36"/>
              <w:widowControl w:val="0"/>
              <w:spacing w:before="0" w:beforeAutospacing="0" w:after="0" w:afterAutospacing="0" w:line="360" w:lineRule="auto"/>
              <w:jc w:val="left"/>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3.免费维保期结束后支付剩余20%合同款。</w:t>
            </w:r>
          </w:p>
        </w:tc>
      </w:tr>
      <w:bookmarkEnd w:id="68"/>
      <w:tr w14:paraId="518A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94403B7">
            <w:pPr>
              <w:pStyle w:val="37"/>
            </w:pPr>
            <w:r>
              <w:rPr>
                <w:rFonts w:hint="eastAsia"/>
              </w:rPr>
              <w:t>2</w:t>
            </w:r>
          </w:p>
        </w:tc>
        <w:tc>
          <w:tcPr>
            <w:tcW w:w="1192" w:type="pct"/>
            <w:vAlign w:val="center"/>
          </w:tcPr>
          <w:p w14:paraId="1CB00499">
            <w:pPr>
              <w:pStyle w:val="36"/>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3217" w:type="pct"/>
            <w:vAlign w:val="center"/>
          </w:tcPr>
          <w:p w14:paraId="52A89C49">
            <w:pPr>
              <w:pStyle w:val="3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招标人指定地点</w:t>
            </w:r>
          </w:p>
        </w:tc>
      </w:tr>
      <w:tr w14:paraId="3876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F474140">
            <w:pPr>
              <w:pStyle w:val="37"/>
            </w:pPr>
            <w:r>
              <w:rPr>
                <w:rFonts w:hint="eastAsia"/>
              </w:rPr>
              <w:t>3</w:t>
            </w:r>
          </w:p>
        </w:tc>
        <w:tc>
          <w:tcPr>
            <w:tcW w:w="1192" w:type="pct"/>
            <w:vAlign w:val="center"/>
          </w:tcPr>
          <w:p w14:paraId="77CD0778">
            <w:pPr>
              <w:pStyle w:val="36"/>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服务期限</w:t>
            </w:r>
          </w:p>
        </w:tc>
        <w:tc>
          <w:tcPr>
            <w:tcW w:w="3217" w:type="pct"/>
            <w:vAlign w:val="center"/>
          </w:tcPr>
          <w:p w14:paraId="37B59589">
            <w:pPr>
              <w:pStyle w:val="36"/>
              <w:widowControl w:val="0"/>
              <w:spacing w:before="0" w:beforeAutospacing="0" w:after="0" w:afterAutospacing="0" w:line="360" w:lineRule="auto"/>
              <w:jc w:val="left"/>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自签订合同之日起2024年11月底前完成项目建设并交付运行</w:t>
            </w:r>
          </w:p>
        </w:tc>
      </w:tr>
    </w:tbl>
    <w:p w14:paraId="063C1729">
      <w:pPr>
        <w:pStyle w:val="2"/>
        <w:spacing w:before="0" w:after="0" w:line="579" w:lineRule="auto"/>
        <w:jc w:val="left"/>
        <w:rPr>
          <w:rFonts w:ascii="宋体" w:hAnsi="宋体" w:eastAsia="宋体" w:cs="宋体"/>
          <w:sz w:val="24"/>
          <w:szCs w:val="24"/>
        </w:rPr>
      </w:pPr>
      <w:bookmarkStart w:id="69" w:name="_Toc31982"/>
      <w:bookmarkStart w:id="70" w:name="_Toc123837531"/>
      <w:bookmarkStart w:id="71" w:name="_Toc16404"/>
      <w:bookmarkStart w:id="72" w:name="_Toc27482"/>
      <w:r>
        <w:rPr>
          <w:rFonts w:hint="eastAsia" w:ascii="宋体" w:hAnsi="宋体" w:eastAsia="宋体" w:cs="宋体"/>
          <w:bCs w:val="0"/>
          <w:color w:val="000000"/>
          <w:sz w:val="20"/>
          <w:szCs w:val="24"/>
        </w:rPr>
        <w:t>二、</w:t>
      </w:r>
      <w:r>
        <w:rPr>
          <w:rFonts w:hint="eastAsia" w:ascii="宋体" w:hAnsi="宋体" w:eastAsia="宋体" w:cs="宋体"/>
          <w:sz w:val="24"/>
          <w:szCs w:val="24"/>
        </w:rPr>
        <w:t>项目概述</w:t>
      </w:r>
      <w:bookmarkEnd w:id="69"/>
    </w:p>
    <w:p w14:paraId="79C0C368">
      <w:pPr>
        <w:spacing w:beforeLines="50" w:afterLines="50"/>
        <w:rPr>
          <w:rFonts w:ascii="宋体" w:hAnsi="宋体" w:eastAsia="宋体" w:cs="宋体"/>
          <w:b/>
          <w:bCs/>
          <w:sz w:val="24"/>
          <w:szCs w:val="32"/>
          <w:lang w:val="en-GB"/>
        </w:rPr>
      </w:pPr>
      <w:bookmarkStart w:id="73" w:name="_Toc28971"/>
      <w:bookmarkStart w:id="74" w:name="_Toc123837526"/>
      <w:r>
        <w:rPr>
          <w:rFonts w:hint="eastAsia" w:ascii="宋体" w:hAnsi="宋体" w:eastAsia="宋体" w:cs="宋体"/>
          <w:b/>
          <w:bCs/>
          <w:sz w:val="24"/>
          <w:szCs w:val="32"/>
        </w:rPr>
        <w:t>1.1</w:t>
      </w:r>
      <w:r>
        <w:rPr>
          <w:rFonts w:hint="eastAsia" w:ascii="宋体" w:hAnsi="宋体" w:eastAsia="宋体" w:cs="宋体"/>
          <w:b/>
          <w:bCs/>
          <w:sz w:val="24"/>
          <w:szCs w:val="32"/>
          <w:lang w:val="en-GB"/>
        </w:rPr>
        <w:t>项目名称</w:t>
      </w:r>
      <w:bookmarkEnd w:id="73"/>
      <w:bookmarkEnd w:id="74"/>
    </w:p>
    <w:p w14:paraId="5D30E2CA">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滁州市自然资源勘测规划研究院有限公司OA协同办公管理系统</w:t>
      </w:r>
    </w:p>
    <w:p w14:paraId="5BF1122A">
      <w:pPr>
        <w:spacing w:beforeLines="50" w:afterLines="50"/>
        <w:rPr>
          <w:rFonts w:ascii="宋体" w:hAnsi="宋体" w:eastAsia="宋体" w:cs="宋体"/>
          <w:b/>
          <w:bCs/>
          <w:sz w:val="24"/>
          <w:szCs w:val="32"/>
          <w:lang w:val="en-GB"/>
        </w:rPr>
      </w:pPr>
      <w:bookmarkStart w:id="75" w:name="_Toc123837528"/>
      <w:bookmarkStart w:id="76" w:name="_Toc1366"/>
      <w:r>
        <w:rPr>
          <w:rFonts w:hint="eastAsia" w:ascii="宋体" w:hAnsi="宋体" w:eastAsia="宋体" w:cs="宋体"/>
          <w:b/>
          <w:bCs/>
          <w:sz w:val="24"/>
          <w:szCs w:val="32"/>
        </w:rPr>
        <w:t>1.2</w:t>
      </w:r>
      <w:r>
        <w:rPr>
          <w:rFonts w:hint="eastAsia" w:ascii="宋体" w:hAnsi="宋体" w:eastAsia="宋体" w:cs="宋体"/>
          <w:b/>
          <w:bCs/>
          <w:sz w:val="24"/>
          <w:szCs w:val="32"/>
          <w:lang w:val="en-GB"/>
        </w:rPr>
        <w:t>项目目标</w:t>
      </w:r>
      <w:bookmarkEnd w:id="75"/>
      <w:bookmarkEnd w:id="76"/>
    </w:p>
    <w:p w14:paraId="107FAC0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优化梳理现有管理体制，提炼线下管理经验和方法，将其流程化、标准化。同时通过本项目实现多项目实时监控、分析功能。达到人员、资源的集中调配；掌控项目的实施过程，防范风险和预算偏差，实现项目过程管控目标；数据信息能够及时通过平台共享，便于后台对各模块开展的各项工作指标实施监控。项目历史资料作为项目数据库，通过资料数字化完成各指标分析，为滁州市自然资源勘测规划院带来管理水平上的提升，从而推动效益提升。</w:t>
      </w:r>
      <w:bookmarkStart w:id="77" w:name="_Toc123837529"/>
    </w:p>
    <w:p w14:paraId="68972C9A">
      <w:pPr>
        <w:spacing w:beforeLines="50" w:afterLines="50"/>
        <w:rPr>
          <w:rFonts w:ascii="宋体" w:hAnsi="宋体" w:eastAsia="宋体" w:cs="宋体"/>
          <w:b/>
          <w:bCs/>
          <w:sz w:val="24"/>
          <w:szCs w:val="32"/>
          <w:lang w:val="en-GB"/>
        </w:rPr>
      </w:pPr>
      <w:bookmarkStart w:id="78" w:name="_Toc22944"/>
      <w:r>
        <w:rPr>
          <w:rFonts w:hint="eastAsia" w:ascii="宋体" w:hAnsi="宋体" w:eastAsia="宋体" w:cs="宋体"/>
          <w:b/>
          <w:bCs/>
          <w:sz w:val="24"/>
          <w:szCs w:val="32"/>
        </w:rPr>
        <w:t>1.3</w:t>
      </w:r>
      <w:r>
        <w:rPr>
          <w:rFonts w:hint="eastAsia" w:ascii="宋体" w:hAnsi="宋体" w:eastAsia="宋体" w:cs="宋体"/>
          <w:b/>
          <w:bCs/>
          <w:sz w:val="24"/>
          <w:szCs w:val="32"/>
          <w:lang w:val="en-GB"/>
        </w:rPr>
        <w:t>建设原则</w:t>
      </w:r>
      <w:bookmarkEnd w:id="77"/>
      <w:bookmarkEnd w:id="78"/>
    </w:p>
    <w:bookmarkEnd w:id="70"/>
    <w:bookmarkEnd w:id="71"/>
    <w:p w14:paraId="78AC664C">
      <w:pPr>
        <w:spacing w:beforeLines="50" w:afterLines="50"/>
        <w:ind w:firstLine="480"/>
        <w:rPr>
          <w:rFonts w:ascii="宋体" w:hAnsi="宋体" w:eastAsia="宋体" w:cs="宋体"/>
          <w:sz w:val="24"/>
          <w:szCs w:val="32"/>
          <w:lang w:val="en-GB"/>
        </w:rPr>
      </w:pPr>
      <w:bookmarkStart w:id="79" w:name="_Toc123837534"/>
      <w:r>
        <w:rPr>
          <w:rFonts w:hint="eastAsia" w:ascii="宋体" w:hAnsi="宋体" w:eastAsia="宋体" w:cs="宋体"/>
          <w:sz w:val="24"/>
          <w:szCs w:val="32"/>
          <w:lang w:val="en-GB"/>
        </w:rPr>
        <w:t>为保证项目能达到建设目标，在设计过程中应遵循如下原则：</w:t>
      </w:r>
    </w:p>
    <w:p w14:paraId="2D9DFA33">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安全性：系统必须建立整套包括相关技术和制度在内的严格、缜密、可靠的协同办公安全管理机制。</w:t>
      </w:r>
    </w:p>
    <w:p w14:paraId="6C6C7A39">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先进性：系统应采用先进、成熟的开发平台，使系统各项功能得到可靠执行。</w:t>
      </w:r>
    </w:p>
    <w:p w14:paraId="271AA313">
      <w:pPr>
        <w:spacing w:beforeLines="50" w:afterLines="50"/>
        <w:ind w:firstLine="480"/>
        <w:rPr>
          <w:rFonts w:ascii="宋体" w:hAnsi="宋体" w:eastAsia="宋体" w:cs="宋体"/>
          <w:sz w:val="24"/>
          <w:szCs w:val="32"/>
          <w:lang w:val="en-GB"/>
        </w:rPr>
      </w:pPr>
      <w:r>
        <w:rPr>
          <w:rFonts w:ascii="宋体" w:hAnsi="宋体" w:eastAsia="宋体" w:cs="宋体"/>
          <w:sz w:val="24"/>
          <w:szCs w:val="32"/>
        </w:rPr>
        <w:t>(3)</w:t>
      </w:r>
      <w:r>
        <w:rPr>
          <w:rFonts w:hint="eastAsia" w:ascii="宋体" w:hAnsi="宋体" w:eastAsia="宋体" w:cs="宋体"/>
          <w:sz w:val="24"/>
          <w:szCs w:val="32"/>
          <w:lang w:val="en-GB"/>
        </w:rPr>
        <w:t>持续升级：系统须能够无须定制地平滑升级，并承诺对产品提供持续升级服务。</w:t>
      </w:r>
    </w:p>
    <w:p w14:paraId="14C5D271">
      <w:pPr>
        <w:spacing w:beforeLines="50" w:afterLines="50"/>
        <w:ind w:firstLine="480"/>
        <w:rPr>
          <w:rFonts w:ascii="宋体" w:hAnsi="宋体" w:eastAsia="宋体" w:cs="宋体"/>
          <w:sz w:val="24"/>
          <w:szCs w:val="32"/>
          <w:lang w:val="en-GB"/>
        </w:rPr>
      </w:pPr>
      <w:r>
        <w:rPr>
          <w:rFonts w:ascii="宋体" w:hAnsi="宋体" w:eastAsia="宋体" w:cs="宋体"/>
          <w:sz w:val="24"/>
          <w:szCs w:val="32"/>
        </w:rPr>
        <w:t>(4)</w:t>
      </w:r>
      <w:r>
        <w:rPr>
          <w:rFonts w:hint="eastAsia" w:ascii="宋体" w:hAnsi="宋体" w:eastAsia="宋体" w:cs="宋体"/>
          <w:sz w:val="24"/>
          <w:szCs w:val="32"/>
          <w:lang w:val="en-GB"/>
        </w:rPr>
        <w:t>易用性：系统应提供友好的用户界面，人性化的设计，简单易用，便于操作。</w:t>
      </w:r>
    </w:p>
    <w:p w14:paraId="71C3B29B">
      <w:pPr>
        <w:spacing w:beforeLines="50" w:afterLines="50"/>
        <w:ind w:firstLine="480"/>
        <w:rPr>
          <w:rFonts w:ascii="宋体" w:hAnsi="宋体" w:eastAsia="宋体" w:cs="宋体"/>
          <w:sz w:val="24"/>
          <w:szCs w:val="32"/>
          <w:lang w:val="en-GB"/>
        </w:rPr>
      </w:pPr>
      <w:r>
        <w:rPr>
          <w:rFonts w:ascii="宋体" w:hAnsi="宋体" w:eastAsia="宋体" w:cs="宋体"/>
          <w:sz w:val="24"/>
          <w:szCs w:val="32"/>
        </w:rPr>
        <w:t>(5)</w:t>
      </w:r>
      <w:r>
        <w:rPr>
          <w:rFonts w:hint="eastAsia" w:ascii="宋体" w:hAnsi="宋体" w:eastAsia="宋体" w:cs="宋体"/>
          <w:sz w:val="24"/>
          <w:szCs w:val="32"/>
          <w:lang w:val="en-GB"/>
        </w:rPr>
        <w:t>可扩展性：系统设计要科学、合理，应具有良好的可扩展性，用户能按需有偿扩充新的功能模块及扩大应用规模（如数据量、用户数等），不得出现因功能与规模相互影响而导致实质性无法有效扩展等问题出现。</w:t>
      </w:r>
    </w:p>
    <w:p w14:paraId="7DD01C5D">
      <w:pPr>
        <w:spacing w:beforeLines="50" w:afterLines="50"/>
        <w:ind w:firstLine="480"/>
        <w:rPr>
          <w:rFonts w:ascii="宋体" w:hAnsi="宋体" w:eastAsia="宋体" w:cs="宋体"/>
          <w:sz w:val="24"/>
          <w:szCs w:val="32"/>
          <w:lang w:val="en-GB"/>
        </w:rPr>
      </w:pPr>
      <w:r>
        <w:rPr>
          <w:rFonts w:ascii="宋体" w:hAnsi="宋体" w:eastAsia="宋体" w:cs="宋体"/>
          <w:sz w:val="24"/>
          <w:szCs w:val="32"/>
        </w:rPr>
        <w:t>(6)</w:t>
      </w:r>
      <w:r>
        <w:rPr>
          <w:rFonts w:hint="eastAsia" w:ascii="宋体" w:hAnsi="宋体" w:eastAsia="宋体" w:cs="宋体"/>
          <w:sz w:val="24"/>
          <w:szCs w:val="32"/>
          <w:lang w:val="en-GB"/>
        </w:rPr>
        <w:t>可维护性：系统应提供可视化的管理工具，允许通过多种手段，快捷管理、配置和监控系统运行状况，为系统正常运行提供技术保障。</w:t>
      </w:r>
    </w:p>
    <w:p w14:paraId="57EC901F">
      <w:pPr>
        <w:spacing w:beforeLines="50" w:afterLines="50"/>
        <w:rPr>
          <w:rFonts w:ascii="宋体" w:hAnsi="宋体" w:eastAsia="宋体" w:cs="宋体"/>
          <w:b/>
          <w:bCs/>
          <w:sz w:val="24"/>
          <w:szCs w:val="32"/>
          <w:lang w:val="en-GB"/>
        </w:rPr>
      </w:pPr>
      <w:r>
        <w:rPr>
          <w:rFonts w:hint="eastAsia" w:ascii="宋体" w:hAnsi="宋体" w:eastAsia="宋体" w:cs="宋体"/>
          <w:b/>
          <w:bCs/>
          <w:sz w:val="24"/>
          <w:szCs w:val="32"/>
        </w:rPr>
        <w:t>二、</w:t>
      </w:r>
      <w:r>
        <w:rPr>
          <w:rFonts w:hint="eastAsia" w:ascii="宋体" w:hAnsi="宋体" w:eastAsia="宋体" w:cs="宋体"/>
          <w:b/>
          <w:bCs/>
          <w:sz w:val="24"/>
          <w:szCs w:val="32"/>
          <w:lang w:val="en-GB"/>
        </w:rPr>
        <w:t>项目需求</w:t>
      </w:r>
    </w:p>
    <w:p w14:paraId="3ADB9B38">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以集中监管为目的，以过程管理为核心，以资源管理为重点，全面实现信息整合，满足管理和控制经营、决策的需要，为管理者对成果的正确评估提供依据，达到全面管理的目的。</w:t>
      </w:r>
    </w:p>
    <w:p w14:paraId="52CB55EA">
      <w:pPr>
        <w:spacing w:beforeLines="50" w:afterLines="50"/>
        <w:ind w:firstLine="480"/>
        <w:rPr>
          <w:rFonts w:ascii="宋体" w:hAnsi="宋体" w:eastAsia="宋体" w:cs="宋体"/>
          <w:b/>
          <w:bCs/>
          <w:sz w:val="24"/>
          <w:szCs w:val="32"/>
          <w:lang w:val="en-GB"/>
        </w:rPr>
      </w:pPr>
      <w:bookmarkStart w:id="80" w:name="_Toc25007"/>
      <w:r>
        <w:rPr>
          <w:rFonts w:hint="eastAsia" w:ascii="宋体" w:hAnsi="宋体" w:eastAsia="宋体" w:cs="宋体"/>
          <w:b/>
          <w:bCs/>
          <w:sz w:val="24"/>
          <w:szCs w:val="32"/>
        </w:rPr>
        <w:t>2.1</w:t>
      </w:r>
      <w:r>
        <w:rPr>
          <w:rFonts w:hint="eastAsia" w:ascii="宋体" w:hAnsi="宋体" w:eastAsia="宋体" w:cs="宋体"/>
          <w:b/>
          <w:bCs/>
          <w:sz w:val="24"/>
          <w:szCs w:val="32"/>
          <w:lang w:val="en-GB"/>
        </w:rPr>
        <w:t>功能需求</w:t>
      </w:r>
      <w:bookmarkEnd w:id="79"/>
      <w:bookmarkEnd w:id="80"/>
    </w:p>
    <w:p w14:paraId="6508D23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系统主要包括：门户管理、流程管理、项目库、合同管理、进度管理、进度计划管理、财务管理、采购管理、资产管理、评审管理、成果管理、档案管理、知识管理、报表分析、全文检索等。模块功能包含但不限于以下内容：</w:t>
      </w:r>
    </w:p>
    <w:p w14:paraId="4E351440">
      <w:pPr>
        <w:spacing w:beforeLines="50" w:afterLines="50"/>
        <w:ind w:firstLine="480"/>
        <w:rPr>
          <w:rFonts w:ascii="宋体" w:hAnsi="宋体" w:eastAsia="宋体" w:cs="宋体"/>
          <w:b/>
          <w:bCs/>
          <w:sz w:val="24"/>
          <w:szCs w:val="32"/>
          <w:lang w:val="en-GB"/>
        </w:rPr>
      </w:pPr>
      <w:bookmarkStart w:id="81" w:name="_Toc16680"/>
      <w:bookmarkStart w:id="82" w:name="_Toc123837535"/>
      <w:r>
        <w:rPr>
          <w:rFonts w:hint="eastAsia" w:ascii="宋体" w:hAnsi="宋体" w:eastAsia="宋体" w:cs="宋体"/>
          <w:b/>
          <w:bCs/>
          <w:sz w:val="24"/>
          <w:szCs w:val="32"/>
        </w:rPr>
        <w:t>2.1.1</w:t>
      </w:r>
      <w:r>
        <w:rPr>
          <w:rFonts w:hint="eastAsia" w:ascii="宋体" w:hAnsi="宋体" w:eastAsia="宋体" w:cs="宋体"/>
          <w:b/>
          <w:bCs/>
          <w:sz w:val="24"/>
          <w:szCs w:val="32"/>
          <w:lang w:val="en-GB"/>
        </w:rPr>
        <w:t>项目</w:t>
      </w:r>
      <w:bookmarkEnd w:id="81"/>
      <w:bookmarkEnd w:id="82"/>
      <w:r>
        <w:rPr>
          <w:rFonts w:hint="eastAsia" w:ascii="宋体" w:hAnsi="宋体" w:eastAsia="宋体" w:cs="宋体"/>
          <w:b/>
          <w:bCs/>
          <w:sz w:val="24"/>
          <w:szCs w:val="32"/>
          <w:lang w:val="en-GB"/>
        </w:rPr>
        <w:t>管理</w:t>
      </w:r>
    </w:p>
    <w:p w14:paraId="3807C26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管理平台会根据不同的项目岗位，提供个性化的岗位工作桌面，将岗位所需要的相关的信息、数据和应用功能进行实时的推送；帮助机构内不同层级员工解决工作中的障碍，提高工作效率。系统可将所有项目信息分类汇总、统计、归类，形成不同角色个性化工作界面。单位及项目运行中心领导可直观查看当前所有项目进度、成本、风险等各维度过程信息，并可通过个人工作桌面及时处理项目任务；项目员工可查看各类项目通知公告信息，可根据个人个性化要求做相应的操作。系统自动将待办、预警，等个人工作信息推送至个人工作桌面，个人可根据预警做工作处理；具体如下：</w:t>
      </w:r>
    </w:p>
    <w:p w14:paraId="462BD9D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管理者门户：高层管理者主要是一系列数据统计分析报表，包括进度、经费到账、经费支出分析等统计分析</w:t>
      </w:r>
    </w:p>
    <w:p w14:paraId="79F1A96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项目负责人门户：负责人门户的核心是处理各类的审批事宜，发起评审工作，提交各类待评审方案。同时，掌控进度、知晓执行数据和风险预警，实现工作安排与检查、考核等；</w:t>
      </w:r>
    </w:p>
    <w:p w14:paraId="56DE3C4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员工门户：项目成员的核心是通过工作门户快速获取当前工作任务，及时反馈任务作业情况，并快速找到资源，解决问题；提供各类事项办理的快速入口，如差旅报销、费用报销等，包括各类事项办理的进度查询；</w:t>
      </w:r>
    </w:p>
    <w:p w14:paraId="703EF51B">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信息发布门户：信息门户是平台的入口，登录后根据用户身份提供通知公告、项目动态、政策动态、项目指南、常用下载、成果展示、管理制度等信息。</w:t>
      </w:r>
    </w:p>
    <w:p w14:paraId="3E9CE304">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管理中需要包含但不限于以下字段：项目参与部门、人员、外协单位、驾驶人员、外业及内业工作量分配、质量评分、项目类型、费用状况、项目备注等。项目管理中应具备提醒功能（进度异常、费用催款等）。</w:t>
      </w:r>
    </w:p>
    <w:p w14:paraId="2CE6DE6D">
      <w:pPr>
        <w:spacing w:beforeLines="50" w:afterLines="50"/>
        <w:ind w:firstLine="480"/>
        <w:rPr>
          <w:rFonts w:ascii="宋体" w:hAnsi="宋体" w:eastAsia="宋体" w:cs="宋体"/>
          <w:sz w:val="24"/>
          <w:szCs w:val="32"/>
          <w:lang w:val="en-GB"/>
        </w:rPr>
      </w:pPr>
      <w:bookmarkStart w:id="83" w:name="_Toc19534"/>
      <w:r>
        <w:rPr>
          <w:rFonts w:hint="eastAsia" w:ascii="宋体" w:hAnsi="宋体" w:eastAsia="宋体" w:cs="宋体"/>
          <w:sz w:val="24"/>
          <w:szCs w:val="32"/>
        </w:rPr>
        <w:t>2.1.2</w:t>
      </w:r>
      <w:r>
        <w:rPr>
          <w:rFonts w:hint="eastAsia" w:ascii="宋体" w:hAnsi="宋体" w:eastAsia="宋体" w:cs="宋体"/>
          <w:sz w:val="24"/>
          <w:szCs w:val="32"/>
          <w:lang w:val="en-GB"/>
        </w:rPr>
        <w:t>流程管理</w:t>
      </w:r>
      <w:bookmarkEnd w:id="83"/>
    </w:p>
    <w:p w14:paraId="06A3BB22">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系统中除了提供非项目类流程审批以外，还需包含项目管理过程中的所有涉及流程，覆盖计划、执行、中期评审、验收、评估等流程，包含但不限于立项流程、评审流程、执行过程审批流程、成果申报流程等等；并提供对应的发起、待办、已办列表，具备传阅、转办、加签等功能。</w:t>
      </w:r>
    </w:p>
    <w:p w14:paraId="200270AA">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考虑我单位未来的管理动态发展，系统需提供可配置化的流程设置，包含但不限于流程节点、流程操作者、表单页面、流转规则、提醒设置、编号规则设置、权限设置等，并能够提供流程相关报表。</w:t>
      </w:r>
    </w:p>
    <w:p w14:paraId="484E0F76">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流程管理中允许设置项目日报、周报、月报，并可挂接项目工作量。</w:t>
      </w:r>
    </w:p>
    <w:p w14:paraId="63E5113D">
      <w:pPr>
        <w:spacing w:beforeLines="50" w:afterLines="50"/>
        <w:ind w:firstLine="480"/>
        <w:rPr>
          <w:rFonts w:ascii="宋体" w:hAnsi="宋体" w:eastAsia="宋体" w:cs="宋体"/>
          <w:sz w:val="24"/>
          <w:szCs w:val="32"/>
          <w:lang w:val="en-GB"/>
        </w:rPr>
      </w:pPr>
      <w:bookmarkStart w:id="84" w:name="_Toc2781"/>
      <w:r>
        <w:rPr>
          <w:rFonts w:hint="eastAsia" w:ascii="宋体" w:hAnsi="宋体" w:eastAsia="宋体" w:cs="宋体"/>
          <w:sz w:val="24"/>
          <w:szCs w:val="32"/>
        </w:rPr>
        <w:t>2.1.3</w:t>
      </w:r>
      <w:r>
        <w:rPr>
          <w:rFonts w:hint="eastAsia" w:ascii="宋体" w:hAnsi="宋体" w:eastAsia="宋体" w:cs="宋体"/>
          <w:sz w:val="24"/>
          <w:szCs w:val="32"/>
          <w:lang w:val="en-GB"/>
        </w:rPr>
        <w:t>人事管理</w:t>
      </w:r>
      <w:bookmarkEnd w:id="84"/>
    </w:p>
    <w:p w14:paraId="54C1F5A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实现组织机构管理、人员信息管理、权限管理、绩效考核、工资计算、劳动合同、职务管理、职称管理、入转调离、招聘管理、考勤管理、预警提醒等覆盖人事管理的全过程，包括但不限于以下方面：</w:t>
      </w:r>
    </w:p>
    <w:p w14:paraId="6BDD8D4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（1）人员基本信息全面入库，实现统一录入多维使用；</w:t>
      </w:r>
    </w:p>
    <w:p w14:paraId="104D763B">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（2）实现人事管理与项目、合同、知识的全面协同；</w:t>
      </w:r>
    </w:p>
    <w:p w14:paraId="573EB01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（3）实现劳动合同、薪酬、考勤、证明文件的电子化流程审批；</w:t>
      </w:r>
    </w:p>
    <w:p w14:paraId="27D5F47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（4）支持根据业务岗位和工作，实现绩效评估、年度考核、任期考评和职称评审功能，建立完善的评审体系；</w:t>
      </w:r>
    </w:p>
    <w:p w14:paraId="2A542F7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（5）实现多维度的人事管理统计与分析报表功能。</w:t>
      </w:r>
    </w:p>
    <w:p w14:paraId="48477DD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（6）不同部门能够采用不同的绩效考核、工作量核算、工资计算方案。</w:t>
      </w:r>
    </w:p>
    <w:p w14:paraId="51328526">
      <w:pPr>
        <w:spacing w:beforeLines="50" w:afterLines="50"/>
        <w:ind w:firstLine="480"/>
        <w:rPr>
          <w:rFonts w:ascii="宋体" w:hAnsi="宋体" w:eastAsia="宋体" w:cs="宋体"/>
          <w:sz w:val="24"/>
          <w:szCs w:val="32"/>
          <w:lang w:val="en-GB"/>
        </w:rPr>
      </w:pPr>
      <w:bookmarkStart w:id="85" w:name="_Toc18170"/>
      <w:r>
        <w:rPr>
          <w:rFonts w:hint="eastAsia" w:ascii="宋体" w:hAnsi="宋体" w:eastAsia="宋体" w:cs="宋体"/>
          <w:sz w:val="24"/>
          <w:szCs w:val="32"/>
        </w:rPr>
        <w:t>2.1.4</w:t>
      </w:r>
      <w:r>
        <w:rPr>
          <w:rFonts w:hint="eastAsia" w:ascii="宋体" w:hAnsi="宋体" w:eastAsia="宋体" w:cs="宋体"/>
          <w:sz w:val="24"/>
          <w:szCs w:val="32"/>
          <w:lang w:val="en-GB"/>
        </w:rPr>
        <w:t>资源管理</w:t>
      </w:r>
      <w:bookmarkEnd w:id="85"/>
    </w:p>
    <w:p w14:paraId="4F2F9A8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人员管理：人员的基本信息和相关联任务的管理。</w:t>
      </w:r>
    </w:p>
    <w:p w14:paraId="4F02DE94">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专家库：调查、收集、编制、管理、分析单位内部和外部专家信息并整理入库。</w:t>
      </w:r>
    </w:p>
    <w:p w14:paraId="7CCF3513">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材料设备管理：材料、设备的采购、使用和台账管理。</w:t>
      </w:r>
    </w:p>
    <w:p w14:paraId="7C013185">
      <w:pPr>
        <w:spacing w:beforeLines="50" w:afterLines="50"/>
        <w:ind w:firstLine="480"/>
        <w:rPr>
          <w:rFonts w:ascii="宋体" w:hAnsi="宋体" w:eastAsia="宋体" w:cs="宋体"/>
          <w:sz w:val="24"/>
          <w:szCs w:val="32"/>
          <w:lang w:val="en-GB"/>
        </w:rPr>
      </w:pPr>
      <w:bookmarkStart w:id="86" w:name="_Toc22811"/>
      <w:r>
        <w:rPr>
          <w:rFonts w:hint="eastAsia" w:ascii="宋体" w:hAnsi="宋体" w:eastAsia="宋体" w:cs="宋体"/>
          <w:sz w:val="24"/>
          <w:szCs w:val="32"/>
        </w:rPr>
        <w:t>2.1.5</w:t>
      </w:r>
      <w:r>
        <w:rPr>
          <w:rFonts w:hint="eastAsia" w:ascii="宋体" w:hAnsi="宋体" w:eastAsia="宋体" w:cs="宋体"/>
          <w:sz w:val="24"/>
          <w:szCs w:val="32"/>
          <w:lang w:val="en-GB"/>
        </w:rPr>
        <w:t>行政管理</w:t>
      </w:r>
      <w:bookmarkEnd w:id="86"/>
    </w:p>
    <w:p w14:paraId="5ACDCDBE">
      <w:pPr>
        <w:spacing w:beforeLines="50" w:afterLines="50"/>
        <w:ind w:firstLine="480"/>
        <w:rPr>
          <w:rFonts w:ascii="宋体" w:hAnsi="宋体" w:eastAsia="宋体" w:cs="宋体"/>
          <w:sz w:val="24"/>
          <w:szCs w:val="32"/>
          <w:lang w:val="en-GB"/>
        </w:rPr>
      </w:pPr>
      <w:bookmarkStart w:id="87" w:name="_Toc4817"/>
      <w:r>
        <w:rPr>
          <w:rFonts w:hint="eastAsia" w:ascii="宋体" w:hAnsi="宋体" w:eastAsia="宋体" w:cs="宋体"/>
          <w:sz w:val="24"/>
          <w:szCs w:val="32"/>
          <w:lang w:val="en-GB"/>
        </w:rPr>
        <w:t>实现综合行政办公类应用，包含固定资产、车辆管理、证照管理、资料管理等，包含但不限于以下方面：</w:t>
      </w:r>
    </w:p>
    <w:p w14:paraId="2E1C520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1）对车辆档案的基本资料维护，对车辆保险、年检到期进行提醒，通过流程审批对车辆使用申请、车辆保养维修记录、管理司机基本档案、以及对车辆各种信息进行统计，实现车辆加油费、ETC费、保险费、维修保养费等成本分项统计，可按人员、部门、时间、车辆类型等多种方式进行统计等功能。</w:t>
      </w:r>
    </w:p>
    <w:p w14:paraId="39D101A7">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2）实现行政办公资产生命周期管理，实现资产申请，入库，领用，借用，维修，报废等全过程生命周期的管理，通过流程审批实现资产状态的变更、资产的分摊到人、到部门，并实现资产变更、库存，使用状态的统计报表。</w:t>
      </w:r>
    </w:p>
    <w:p w14:paraId="09D2F92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3）包括会议室管理和会议安排、会议通知、会议材料、会议纪要。具备会议通知的拟定、审核、发布等，会议室管理包括会议室概况、会议室状态，会议室的申请、审批、通知与会人、查询、使用统计等功能。</w:t>
      </w:r>
    </w:p>
    <w:p w14:paraId="59FCAFC3">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（4）证照管理包括所有证书取得时间、正副本数量、有效期、发证单位、维护单位等基本信息管理，证书借用登记台账，具有证书到期、年检等提醒功能。</w:t>
      </w:r>
    </w:p>
    <w:p w14:paraId="41C93BDA">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2.1.6</w:t>
      </w:r>
      <w:r>
        <w:rPr>
          <w:rFonts w:hint="eastAsia" w:ascii="宋体" w:hAnsi="宋体" w:eastAsia="宋体" w:cs="宋体"/>
          <w:sz w:val="24"/>
          <w:szCs w:val="32"/>
          <w:lang w:val="en-GB"/>
        </w:rPr>
        <w:t>财务管理</w:t>
      </w:r>
    </w:p>
    <w:p w14:paraId="2A8EEAA8">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财务管理具备开票登记、收款登记、项目经费、配套经费、经费预算、经费到帐、经费报销等方面的管理。</w:t>
      </w:r>
    </w:p>
    <w:p w14:paraId="10C55911">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支持财务部做项目的开票时间、开票金额、到款时间、到款金额登记工作。</w:t>
      </w:r>
    </w:p>
    <w:p w14:paraId="1578FF5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项目立项时，支持录入项目的合同经费、配套经费以及制订对应的经费预算。</w:t>
      </w:r>
    </w:p>
    <w:p w14:paraId="40D71F7A">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 xml:space="preserve">财务模块需实现由管理部门进行经费下拨到具体项目，通过管理部门和财务部的审核后，系统内具体的项目就可以进行经费报销。 </w:t>
      </w:r>
    </w:p>
    <w:p w14:paraId="6EB3A95B">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经费报销时，系统能实现对每个项目进行经费支出登记，同时支持可以根据管理需求，支出和预算进行绑定。</w:t>
      </w:r>
    </w:p>
    <w:p w14:paraId="4E34D9E7">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其他财务流程应当支持：差旅费报销，专家评审费报销，日常报销（费用类型需要增加），物品领用等。</w:t>
      </w:r>
    </w:p>
    <w:p w14:paraId="4FD4E044">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财务模块应包含但不限于以下功能：</w:t>
      </w:r>
    </w:p>
    <w:p w14:paraId="24C2F62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1，简洁唯一的项目编号，对应项目和报销单。</w:t>
      </w:r>
    </w:p>
    <w:p w14:paraId="47B3BEE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 xml:space="preserve">2，上传的发票提供基于发票编号自动查重功能（编号基于图片识别进行抓取、人工校验作为复核。）    </w:t>
      </w:r>
    </w:p>
    <w:p w14:paraId="15BBEC31">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3，可以按照项目编号/经办人/金额搜索流程。</w:t>
      </w:r>
    </w:p>
    <w:p w14:paraId="436A4ED2">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4，可以汇总每个项目发生的成本和工时，也可以汇总每个科室的成本和工时。</w:t>
      </w:r>
    </w:p>
    <w:p w14:paraId="719DC3CA">
      <w:pPr>
        <w:spacing w:beforeLines="50" w:afterLines="50"/>
        <w:ind w:firstLine="480"/>
        <w:rPr>
          <w:rFonts w:ascii="宋体" w:hAnsi="宋体" w:eastAsia="宋体" w:cs="宋体"/>
          <w:sz w:val="24"/>
          <w:szCs w:val="32"/>
          <w:lang w:val="en-GB"/>
        </w:rPr>
      </w:pPr>
      <w:bookmarkStart w:id="88" w:name="_Toc14196"/>
      <w:r>
        <w:rPr>
          <w:rFonts w:hint="eastAsia" w:ascii="宋体" w:hAnsi="宋体" w:eastAsia="宋体" w:cs="宋体"/>
          <w:sz w:val="24"/>
          <w:szCs w:val="32"/>
        </w:rPr>
        <w:t>2.1.7</w:t>
      </w:r>
      <w:r>
        <w:rPr>
          <w:rFonts w:hint="eastAsia" w:ascii="宋体" w:hAnsi="宋体" w:eastAsia="宋体" w:cs="宋体"/>
          <w:sz w:val="24"/>
          <w:szCs w:val="32"/>
          <w:lang w:val="en-GB"/>
        </w:rPr>
        <w:t>采购管理</w:t>
      </w:r>
      <w:bookmarkEnd w:id="88"/>
    </w:p>
    <w:p w14:paraId="4EFC464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采购一体化管理模块。按照国家相关法律法规，执行上级的工程、物资、服务限额规定及程序设计，涉及到器材采购、外协采购、设备（含仪表）、工程及工程物资采购、设备维修、后勤服务外包、低值易耗品等。围绕项目的采购计划、采购执行、合同管理、供应商管理、采购档案管理、采购文件编制、采购评审会议、数据台账和统计分析等业务展开。实现上述所有业务功能需求。</w:t>
      </w:r>
    </w:p>
    <w:p w14:paraId="7689795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2.1.8</w:t>
      </w:r>
      <w:r>
        <w:rPr>
          <w:rFonts w:hint="eastAsia" w:ascii="宋体" w:hAnsi="宋体" w:eastAsia="宋体" w:cs="宋体"/>
          <w:sz w:val="24"/>
          <w:szCs w:val="32"/>
          <w:lang w:val="en-GB"/>
        </w:rPr>
        <w:t>项目库</w:t>
      </w:r>
      <w:bookmarkEnd w:id="87"/>
    </w:p>
    <w:p w14:paraId="7264D1F6">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实现数据集中管理及统一业务规范，为信息资源整合、流程实施、全面监管提供依据。实现项目生命周期中各管理手段的自动衔接，实现信息一次输入、多处共享、滚动控制、环环相扣。</w:t>
      </w:r>
    </w:p>
    <w:p w14:paraId="47378DEA">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项目信息汇总台账，将项目立项流程通过后，形成项目信息台账。</w:t>
      </w:r>
    </w:p>
    <w:p w14:paraId="5392862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信息卡片中，实现对项目关键信息如:项目名称、项目负责人、项目类型、业主信息、经费、成果等数据，实时的数据统计面板让你对项目的进度及收支一目了然，便于当延误发生时，及时处理延误，轻松掌控项目运行情况。</w:t>
      </w:r>
    </w:p>
    <w:p w14:paraId="3F39FE17">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快速了解项目当前报备、立项、执行、验收等阶段的项目进度情况，不同阶段用不同颜色区分，更加清晰显示项目阶段，轻松掌控项目各个阶段的分布情况。</w:t>
      </w:r>
    </w:p>
    <w:p w14:paraId="779E138B">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项目库与合同管理及财务管理联动，项目建立可以选择与合同关联可以选择不挂接，与财务管理必关联（部分项目不具备签合同的条件）。</w:t>
      </w:r>
    </w:p>
    <w:p w14:paraId="77E970D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项目需能够挂接项目合同签订、费用到账、发票开具、人员投入工作量等信息。</w:t>
      </w:r>
    </w:p>
    <w:p w14:paraId="376B4229">
      <w:pPr>
        <w:spacing w:beforeLines="50" w:afterLines="50"/>
        <w:ind w:firstLine="480"/>
        <w:rPr>
          <w:rFonts w:ascii="宋体" w:hAnsi="宋体" w:eastAsia="宋体" w:cs="宋体"/>
          <w:sz w:val="24"/>
          <w:szCs w:val="32"/>
          <w:lang w:val="en-GB"/>
        </w:rPr>
      </w:pPr>
      <w:bookmarkStart w:id="89" w:name="_Toc29135"/>
      <w:r>
        <w:rPr>
          <w:rFonts w:hint="eastAsia" w:ascii="宋体" w:hAnsi="宋体" w:eastAsia="宋体" w:cs="宋体"/>
          <w:sz w:val="24"/>
          <w:szCs w:val="32"/>
        </w:rPr>
        <w:t>2.1.9</w:t>
      </w:r>
      <w:r>
        <w:rPr>
          <w:rFonts w:hint="eastAsia" w:ascii="宋体" w:hAnsi="宋体" w:eastAsia="宋体" w:cs="宋体"/>
          <w:sz w:val="24"/>
          <w:szCs w:val="32"/>
          <w:lang w:val="en-GB"/>
        </w:rPr>
        <w:t>项目申报</w:t>
      </w:r>
      <w:bookmarkEnd w:id="89"/>
    </w:p>
    <w:p w14:paraId="2C6D222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基于项目申报方案，服务于单位内项目申报工作，具备申报计划编制、申报条件设定、申报信息登记、申报材料提交和审核等，可定制申报书模板。</w:t>
      </w:r>
    </w:p>
    <w:p w14:paraId="33BD775A">
      <w:pPr>
        <w:spacing w:beforeLines="50" w:afterLines="50"/>
        <w:ind w:firstLine="480"/>
        <w:rPr>
          <w:rFonts w:ascii="宋体" w:hAnsi="宋体" w:eastAsia="宋体" w:cs="宋体"/>
          <w:sz w:val="24"/>
          <w:szCs w:val="32"/>
          <w:lang w:val="en-GB"/>
        </w:rPr>
      </w:pPr>
      <w:bookmarkStart w:id="90" w:name="_Toc1058"/>
      <w:r>
        <w:rPr>
          <w:rFonts w:hint="eastAsia" w:ascii="宋体" w:hAnsi="宋体" w:eastAsia="宋体" w:cs="宋体"/>
          <w:sz w:val="24"/>
          <w:szCs w:val="32"/>
        </w:rPr>
        <w:t>2.1.10</w:t>
      </w:r>
      <w:r>
        <w:rPr>
          <w:rFonts w:hint="eastAsia" w:ascii="宋体" w:hAnsi="宋体" w:eastAsia="宋体" w:cs="宋体"/>
          <w:sz w:val="24"/>
          <w:szCs w:val="32"/>
          <w:lang w:val="en-GB"/>
        </w:rPr>
        <w:t>合同管理</w:t>
      </w:r>
      <w:bookmarkEnd w:id="90"/>
    </w:p>
    <w:p w14:paraId="6114ACC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构建合同体系，覆盖不同类型的合同管理，从收款和付款两类型做建模管控。收款主要围绕项目，付款主要围绕涉及的采购合同、基建合同、行政合同、外协合同等。整个合同管理模块包括：合同方信息管理、合同台账、合同起草、合同审批、合同编号归档、合同范本套用、合同收付款、合同收开票、合同变更、合同解除、合同终止、合同撤销、合同模版、合同归档、合同报表分析等功能。</w:t>
      </w:r>
    </w:p>
    <w:p w14:paraId="0AAD53E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格式合同：建立各种格式合同模板；</w:t>
      </w:r>
    </w:p>
    <w:p w14:paraId="78F35904">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合同审批管理：各种分类合同审批流程及用印审批流程；</w:t>
      </w:r>
    </w:p>
    <w:p w14:paraId="2320DD7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（3）合同台账管理：统一管理合同台账信息，记录合同的基本信息及付款方式、付款条件，可按权限查询；</w:t>
      </w:r>
    </w:p>
    <w:p w14:paraId="28869EB8">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（4）合同履约管理：通过对合同状态管理，实现对合同变更、合同终止、合同续签等状态变更痕迹保留，监管合同履行过程；</w:t>
      </w:r>
    </w:p>
    <w:p w14:paraId="0400ED2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（5）合同付款管理：合同付款与合同台账绑定进行控制、付款超期预警；</w:t>
      </w:r>
    </w:p>
    <w:p w14:paraId="1E87CFA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（6） 合同归档管理：实现合同的有效归档，能按权限分类查询和明细查询；</w:t>
      </w:r>
    </w:p>
    <w:p w14:paraId="3658E3B8">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（7）合同允许关联中标通知书，项目技术文件等招采内容，方便同类型项目参考。</w:t>
      </w:r>
    </w:p>
    <w:p w14:paraId="158825E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（8）合同执行统计分析报表。</w:t>
      </w:r>
    </w:p>
    <w:p w14:paraId="0384A107">
      <w:pPr>
        <w:spacing w:beforeLines="50" w:afterLines="50"/>
        <w:ind w:firstLine="480"/>
        <w:rPr>
          <w:rFonts w:ascii="宋体" w:hAnsi="宋体" w:eastAsia="宋体" w:cs="宋体"/>
          <w:sz w:val="24"/>
          <w:szCs w:val="32"/>
          <w:lang w:val="en-GB"/>
        </w:rPr>
      </w:pPr>
      <w:bookmarkStart w:id="91" w:name="_Toc1077"/>
      <w:r>
        <w:rPr>
          <w:rFonts w:hint="eastAsia" w:ascii="宋体" w:hAnsi="宋体" w:eastAsia="宋体" w:cs="宋体"/>
          <w:sz w:val="24"/>
          <w:szCs w:val="32"/>
        </w:rPr>
        <w:t>2.1.11</w:t>
      </w:r>
      <w:r>
        <w:rPr>
          <w:rFonts w:hint="eastAsia" w:ascii="宋体" w:hAnsi="宋体" w:eastAsia="宋体" w:cs="宋体"/>
          <w:sz w:val="24"/>
          <w:szCs w:val="32"/>
          <w:lang w:val="en-GB"/>
        </w:rPr>
        <w:t>进度管理</w:t>
      </w:r>
      <w:bookmarkEnd w:id="91"/>
    </w:p>
    <w:p w14:paraId="071000A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负责人按照任务书要求及时组织开展各项工作。合理制定项目任务计划、合理安排项目进度。并通过动态甘特图表管理项目开展情况，管理项目过程资源集中管理；</w:t>
      </w:r>
    </w:p>
    <w:p w14:paraId="24111C73">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通过项目进度跟踪，可准确跟踪项目里程碑与细分任务完成情况。以进度计划作为项目管理的主线，帮助项目管理者对项目进行全面计划、跟踪和控制，做到计划与实际同步一致，协调控制。项目进度监控和执行制度化的过程，通过项目汇报的手段对项目的阶段性进展情况进行评价和分析，根据相关数据生成各类项目分析报表。</w:t>
      </w:r>
    </w:p>
    <w:p w14:paraId="0966A9EC">
      <w:pPr>
        <w:spacing w:beforeLines="50" w:afterLines="50"/>
        <w:ind w:firstLine="480"/>
        <w:rPr>
          <w:rFonts w:ascii="宋体" w:hAnsi="宋体" w:eastAsia="宋体" w:cs="宋体"/>
          <w:sz w:val="24"/>
          <w:szCs w:val="32"/>
          <w:lang w:val="en-GB"/>
        </w:rPr>
      </w:pPr>
      <w:bookmarkStart w:id="92" w:name="_Toc20490"/>
      <w:r>
        <w:rPr>
          <w:rFonts w:hint="eastAsia" w:ascii="宋体" w:hAnsi="宋体" w:eastAsia="宋体" w:cs="宋体"/>
          <w:sz w:val="24"/>
          <w:szCs w:val="32"/>
        </w:rPr>
        <w:t>2.1.12</w:t>
      </w:r>
      <w:r>
        <w:rPr>
          <w:rFonts w:hint="eastAsia" w:ascii="宋体" w:hAnsi="宋体" w:eastAsia="宋体" w:cs="宋体"/>
          <w:sz w:val="24"/>
          <w:szCs w:val="32"/>
          <w:lang w:val="en-GB"/>
        </w:rPr>
        <w:t>任务管理</w:t>
      </w:r>
      <w:bookmarkEnd w:id="92"/>
    </w:p>
    <w:p w14:paraId="21C4BA2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 xml:space="preserve">任务管理：又称为标准工序管理，是针对一个项目的标准动作及执行过程的任务分解，支持多级分解，任务分类，标准工期指定等。  </w:t>
      </w:r>
    </w:p>
    <w:p w14:paraId="50A158D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可针对项目类型完成标准工序设定，同时支持工序细节设置，包括任务完成标准，交付物模板，参考工期等等，工序设定的内容可直接用于项目计划引用。</w:t>
      </w:r>
    </w:p>
    <w:p w14:paraId="361E9324">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项目库应设置项目挂起（暂停），超时提醒（科室负责人可选择设立项目时限）。</w:t>
      </w:r>
    </w:p>
    <w:p w14:paraId="2C5C5421">
      <w:pPr>
        <w:spacing w:beforeLines="50" w:afterLines="50"/>
        <w:ind w:firstLine="480"/>
        <w:rPr>
          <w:rFonts w:ascii="宋体" w:hAnsi="宋体" w:eastAsia="宋体" w:cs="宋体"/>
          <w:sz w:val="24"/>
          <w:szCs w:val="32"/>
          <w:lang w:val="en-GB"/>
        </w:rPr>
      </w:pPr>
      <w:bookmarkStart w:id="93" w:name="_Toc29898"/>
      <w:r>
        <w:rPr>
          <w:rFonts w:hint="eastAsia" w:ascii="宋体" w:hAnsi="宋体" w:eastAsia="宋体" w:cs="宋体"/>
          <w:sz w:val="24"/>
          <w:szCs w:val="32"/>
        </w:rPr>
        <w:t>2.1.13</w:t>
      </w:r>
      <w:r>
        <w:rPr>
          <w:rFonts w:hint="eastAsia" w:ascii="宋体" w:hAnsi="宋体" w:eastAsia="宋体" w:cs="宋体"/>
          <w:sz w:val="24"/>
          <w:szCs w:val="32"/>
          <w:lang w:val="en-GB"/>
        </w:rPr>
        <w:t>计划管理</w:t>
      </w:r>
      <w:bookmarkEnd w:id="93"/>
    </w:p>
    <w:p w14:paraId="7D60F35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计划模板: 系统支持多类型计划模板设定及引用，可通过多类型计划模板，快速生成项目计划。</w:t>
      </w:r>
    </w:p>
    <w:p w14:paraId="4C1C5C98">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计划编制：项目经理可通过模板编排总控计划，也可通过Excel导入已编制好的总体计划；各个职能部门编排专项计划；各个职能部门之间专项计划可自动化生成，可根据职能分类进行分解，管理，反馈等，例如设计计划、采购计划；计划经过评审后发布，形成计划基线，可实现多版本控制、调整。</w:t>
      </w:r>
    </w:p>
    <w:p w14:paraId="7100BBC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计划反馈：项目计划可以支持多种反馈方式，包括业务流程反馈，交付物驱动反馈，填报式反馈。</w:t>
      </w:r>
    </w:p>
    <w:p w14:paraId="1B375438">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各类计划按月自动生产月度工作完成情况并可以衔接调度会议</w:t>
      </w:r>
    </w:p>
    <w:p w14:paraId="50E65741">
      <w:pPr>
        <w:spacing w:beforeLines="50" w:afterLines="50"/>
        <w:ind w:firstLine="480"/>
        <w:rPr>
          <w:rFonts w:ascii="宋体" w:hAnsi="宋体" w:eastAsia="宋体" w:cs="宋体"/>
          <w:sz w:val="24"/>
          <w:szCs w:val="32"/>
          <w:lang w:val="en-GB"/>
        </w:rPr>
      </w:pPr>
      <w:bookmarkStart w:id="94" w:name="_Toc7301"/>
      <w:r>
        <w:rPr>
          <w:rFonts w:hint="eastAsia" w:ascii="宋体" w:hAnsi="宋体" w:eastAsia="宋体" w:cs="宋体"/>
          <w:sz w:val="24"/>
          <w:szCs w:val="32"/>
        </w:rPr>
        <w:t>2.1.14</w:t>
      </w:r>
      <w:r>
        <w:rPr>
          <w:rFonts w:hint="eastAsia" w:ascii="宋体" w:hAnsi="宋体" w:eastAsia="宋体" w:cs="宋体"/>
          <w:sz w:val="24"/>
          <w:szCs w:val="32"/>
          <w:lang w:val="en-GB"/>
        </w:rPr>
        <w:t>评审管理</w:t>
      </w:r>
      <w:bookmarkEnd w:id="94"/>
    </w:p>
    <w:p w14:paraId="2D39D76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用于业务中各类评审管理，建立项目负责人、部门领导、管理部门的执行反馈机制，实现包括项目申报评审、里程碑评审、变更评审、验收评审等。系统可灵活的设定评审规则、确定评审专家组，评审专家通过指定内部联系人，评审组织者可实现评审汇总。</w:t>
      </w:r>
    </w:p>
    <w:p w14:paraId="0E7C04D6">
      <w:pPr>
        <w:spacing w:beforeLines="50" w:afterLines="50"/>
        <w:ind w:firstLine="480"/>
        <w:rPr>
          <w:rFonts w:ascii="宋体" w:hAnsi="宋体" w:eastAsia="宋体" w:cs="宋体"/>
          <w:sz w:val="24"/>
          <w:szCs w:val="32"/>
          <w:lang w:val="en-GB"/>
        </w:rPr>
      </w:pPr>
      <w:bookmarkStart w:id="95" w:name="_Toc3152"/>
      <w:r>
        <w:rPr>
          <w:rFonts w:hint="eastAsia" w:ascii="宋体" w:hAnsi="宋体" w:eastAsia="宋体" w:cs="宋体"/>
          <w:sz w:val="24"/>
          <w:szCs w:val="32"/>
        </w:rPr>
        <w:t>2.1.15</w:t>
      </w:r>
      <w:r>
        <w:rPr>
          <w:rFonts w:hint="eastAsia" w:ascii="宋体" w:hAnsi="宋体" w:eastAsia="宋体" w:cs="宋体"/>
          <w:sz w:val="24"/>
          <w:szCs w:val="32"/>
          <w:lang w:val="en-GB"/>
        </w:rPr>
        <w:t>成果管理</w:t>
      </w:r>
      <w:bookmarkEnd w:id="95"/>
    </w:p>
    <w:p w14:paraId="07C592A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实现成果申报、确认、办理跟踪的管理功能。包括专利管理、新产品管理、论著管理、软件著作权管理、标准管理、鉴定管理、奖励管理等。</w:t>
      </w:r>
    </w:p>
    <w:p w14:paraId="41623B16">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知识产权：项目知识产权管理，实现专利、论文论著等成果的申报、审核，并对成果信息、资料、文档进行收集、编辑、分类、登记等管理。</w:t>
      </w:r>
    </w:p>
    <w:p w14:paraId="6AE5F26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成果鉴定：由项目负责人发起鉴定申请提交鉴定材料，管理部门完成初审后，通过OA管理系统进行评审活动、制定评分规则、确定评审专家，可分为线上评审和线下评审。线上专家登录系统后，查看评审材料，为评审对象打分，最终汇总形成鉴定结果并将鉴定成果登记存档管理等。</w:t>
      </w:r>
    </w:p>
    <w:p w14:paraId="50E76017">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奖励管理：系统实现启动申报、奖励申请、形式审查、评审组织管理、专家评审、评审统计等功能，实现成果奖励申报与评审业务管理环节信息化与自动化，涉及角色包括奖励申请人、奖励申请单位、评审专家等。</w:t>
      </w:r>
    </w:p>
    <w:p w14:paraId="30A68FE3">
      <w:pPr>
        <w:spacing w:beforeLines="50" w:afterLines="50"/>
        <w:ind w:firstLine="480"/>
        <w:rPr>
          <w:rFonts w:ascii="宋体" w:hAnsi="宋体" w:eastAsia="宋体" w:cs="宋体"/>
          <w:sz w:val="24"/>
          <w:szCs w:val="32"/>
          <w:lang w:val="en-GB"/>
        </w:rPr>
      </w:pPr>
      <w:bookmarkStart w:id="96" w:name="_Toc14620"/>
      <w:r>
        <w:rPr>
          <w:rFonts w:hint="eastAsia" w:ascii="宋体" w:hAnsi="宋体" w:eastAsia="宋体" w:cs="宋体"/>
          <w:sz w:val="24"/>
          <w:szCs w:val="32"/>
        </w:rPr>
        <w:t>2.1.16</w:t>
      </w:r>
      <w:r>
        <w:rPr>
          <w:rFonts w:hint="eastAsia" w:ascii="宋体" w:hAnsi="宋体" w:eastAsia="宋体" w:cs="宋体"/>
          <w:sz w:val="24"/>
          <w:szCs w:val="32"/>
          <w:lang w:val="en-GB"/>
        </w:rPr>
        <w:t>档案管理</w:t>
      </w:r>
      <w:bookmarkEnd w:id="96"/>
    </w:p>
    <w:p w14:paraId="5E41B37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项目在立项论证、研究实施及过程管理、结题验收及绩效评价、成果管理等过程中形成的文件材料及其他项目相关文件的归档管理。</w:t>
      </w:r>
    </w:p>
    <w:p w14:paraId="701483AB">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档案管理范围主要包括但不限于以下阶段内容：</w:t>
      </w:r>
    </w:p>
    <w:p w14:paraId="4DD2567A">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立项论证阶段：项目指南、可行性研究报告、申报书及相关证明、立项评审文件材料、立项（含预算）批复、任务合同书（含预算书）及各类协议等。</w:t>
      </w:r>
    </w:p>
    <w:p w14:paraId="37C71136">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系统允许根据部门实际情况设定分类，立项等前期阶段，项目编制阶段，项目审查阶段，项目验收阶段等等</w:t>
      </w:r>
    </w:p>
    <w:p w14:paraId="676EDBB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研究实施及过程管理阶段：研究计划、组织实施方案，研究任务书、大纲，实验、测试记录，综合分析报告；设计文件、工艺文件、计算及数据处理文件；中期、年度等阶段执行进展情况报告、总合报告；各种调整、变更文件材料，阶段性成果，知识产权；中期检查、评审中形成的文件材料。</w:t>
      </w:r>
    </w:p>
    <w:p w14:paraId="2F06D72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结题验收及绩效考评、成果管理阶段：验收申请书、承诺书，工作总结报告，技术报告，验收通知，验收评审文件材料，测试、评估报告，验收结论书及结题书面通知，研究报告、论文、专著，自评报告、科技报告等。</w:t>
      </w:r>
    </w:p>
    <w:p w14:paraId="048EFD4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管理应以项目为单位，将项目相关受理材料电子化录入该项目中，且从立项至完结，均可进行材料补正。</w:t>
      </w:r>
    </w:p>
    <w:p w14:paraId="1E9C014B">
      <w:pPr>
        <w:spacing w:beforeLines="50" w:afterLines="50"/>
        <w:ind w:firstLine="480"/>
        <w:rPr>
          <w:rFonts w:ascii="宋体" w:hAnsi="宋体" w:eastAsia="宋体" w:cs="宋体"/>
          <w:sz w:val="24"/>
          <w:szCs w:val="32"/>
          <w:lang w:val="en-GB"/>
        </w:rPr>
      </w:pPr>
      <w:bookmarkStart w:id="97" w:name="_Toc7037"/>
      <w:r>
        <w:rPr>
          <w:rFonts w:hint="eastAsia" w:ascii="宋体" w:hAnsi="宋体" w:eastAsia="宋体" w:cs="宋体"/>
          <w:sz w:val="24"/>
          <w:szCs w:val="32"/>
        </w:rPr>
        <w:t>2.1.17</w:t>
      </w:r>
      <w:r>
        <w:rPr>
          <w:rFonts w:hint="eastAsia" w:ascii="宋体" w:hAnsi="宋体" w:eastAsia="宋体" w:cs="宋体"/>
          <w:sz w:val="24"/>
          <w:szCs w:val="32"/>
          <w:lang w:val="en-GB"/>
        </w:rPr>
        <w:t>知识管理</w:t>
      </w:r>
      <w:bookmarkEnd w:id="97"/>
    </w:p>
    <w:p w14:paraId="071FB6C5">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实现单位知识共享、固化人员知识成果、提高知识重复利用率，帮助单位形成自动化的知识库建设体系，促进隐性知识向显性知识转化，从而构建单位的智慧资本，促进单位永续发展和不断创新。包括：文档库、知识门户、知识检索与展现、知识集成、个人知识中心、知识管理与授权等模块。同时知识管理需与知识管理系统实现无缝融合。</w:t>
      </w:r>
    </w:p>
    <w:p w14:paraId="1A082DA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相关知识数据提供权限管理，员工只能浏览权限范围内的数据。</w:t>
      </w:r>
    </w:p>
    <w:p w14:paraId="2A3AC41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2.1.18</w:t>
      </w:r>
      <w:r>
        <w:rPr>
          <w:rFonts w:hint="eastAsia" w:ascii="宋体" w:hAnsi="宋体" w:eastAsia="宋体" w:cs="宋体"/>
          <w:sz w:val="24"/>
          <w:szCs w:val="32"/>
          <w:lang w:val="en-GB"/>
        </w:rPr>
        <w:t>质量管理</w:t>
      </w:r>
    </w:p>
    <w:p w14:paraId="3E89985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应确保按照既定目标和标准进行，通过在项目在中间环节进行质量检查和流程审批，实现质检工作的准确性和可靠这涉及性。从项目启动到项目收尾的全过程管理，包括制定项目计划、分配资源、监控进度、控制成本、保证质量等多个方面进行质量管控。</w:t>
      </w:r>
    </w:p>
    <w:p w14:paraId="6EA25C4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质检环节应当包含但不限于以下功能：</w:t>
      </w:r>
    </w:p>
    <w:p w14:paraId="56B1540E">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OA系统中需记录质检结果。</w:t>
      </w:r>
    </w:p>
    <w:p w14:paraId="71BEB402">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OA项目名称、业务类型、金额等有误的，有修改、退回权限。</w:t>
      </w:r>
    </w:p>
    <w:p w14:paraId="607E01BA">
      <w:pPr>
        <w:spacing w:beforeLines="50" w:afterLines="50"/>
        <w:ind w:firstLine="480"/>
        <w:rPr>
          <w:rFonts w:ascii="宋体" w:hAnsi="宋体" w:eastAsia="宋体" w:cs="宋体"/>
          <w:sz w:val="24"/>
          <w:szCs w:val="32"/>
          <w:highlight w:val="none"/>
          <w:lang w:val="en-GB"/>
        </w:rPr>
      </w:pPr>
      <w:r>
        <w:rPr>
          <w:rFonts w:ascii="宋体" w:hAnsi="宋体" w:eastAsia="宋体" w:cs="宋体"/>
          <w:sz w:val="24"/>
          <w:szCs w:val="32"/>
        </w:rPr>
        <w:t>(3)</w:t>
      </w:r>
      <w:r>
        <w:rPr>
          <w:rFonts w:hint="eastAsia" w:ascii="宋体" w:hAnsi="宋体" w:eastAsia="宋体" w:cs="宋体"/>
          <w:sz w:val="24"/>
          <w:szCs w:val="32"/>
          <w:lang w:val="en-GB"/>
        </w:rPr>
        <w:t>质检模块应提供逐级质检流程，包含发起者、科室负责人、总工办。形</w:t>
      </w:r>
      <w:r>
        <w:rPr>
          <w:rFonts w:hint="eastAsia" w:ascii="宋体" w:hAnsi="宋体" w:eastAsia="宋体" w:cs="宋体"/>
          <w:sz w:val="24"/>
          <w:szCs w:val="32"/>
          <w:highlight w:val="none"/>
          <w:lang w:val="en-GB"/>
        </w:rPr>
        <w:t>成三级质检流程。</w:t>
      </w:r>
    </w:p>
    <w:p w14:paraId="33DF4262">
      <w:pPr>
        <w:spacing w:beforeLines="50" w:afterLines="50"/>
        <w:ind w:firstLine="480"/>
        <w:rPr>
          <w:rFonts w:ascii="宋体" w:hAnsi="宋体" w:eastAsia="宋体" w:cs="宋体"/>
          <w:sz w:val="24"/>
          <w:szCs w:val="32"/>
          <w:highlight w:val="none"/>
          <w:lang w:val="en-GB"/>
        </w:rPr>
      </w:pPr>
      <w:bookmarkStart w:id="98" w:name="_Toc23673"/>
      <w:r>
        <w:rPr>
          <w:rFonts w:hint="eastAsia" w:ascii="宋体" w:hAnsi="宋体" w:eastAsia="宋体" w:cs="宋体"/>
          <w:sz w:val="24"/>
          <w:szCs w:val="32"/>
          <w:highlight w:val="none"/>
        </w:rPr>
        <w:t>2.1.19</w:t>
      </w:r>
      <w:r>
        <w:rPr>
          <w:rFonts w:hint="eastAsia" w:ascii="宋体" w:hAnsi="宋体" w:eastAsia="宋体" w:cs="宋体"/>
          <w:sz w:val="24"/>
          <w:szCs w:val="32"/>
          <w:highlight w:val="none"/>
          <w:lang w:val="en-GB"/>
        </w:rPr>
        <w:t>帆软报表分析工具</w:t>
      </w:r>
      <w:bookmarkEnd w:id="98"/>
    </w:p>
    <w:p w14:paraId="483EFA0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报表分析功能为领导层提供各种查询、分析、报表工具，基于现有数据库字段快速生成自定义报表和图表，根据实际需求，进行数据的分析、整合、过滤。</w:t>
      </w:r>
    </w:p>
    <w:p w14:paraId="3EBBAA3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（1）实现项目、成果、人员、经费、物资等数据、信息的灵活统计分析功能，并以柱状图、饼状图和曲线图等方式展示；</w:t>
      </w:r>
    </w:p>
    <w:p w14:paraId="79747F71">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（2）实现对系统中所有格式化业务数据进行各种维度和粒度的自定义查询统计，查询、分析、统计数据能以EXCEL表格等形式导出；</w:t>
      </w:r>
    </w:p>
    <w:p w14:paraId="1A9C6F7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（3）系统内所有已存在数据必须提供查询统计功能，实现数据存在必可查。</w:t>
      </w:r>
    </w:p>
    <w:p w14:paraId="612359E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（4）提供系统运行过程中的业务流报表、文档查询报表、文档下载报表、流程监控及效率分析等报表的生成分析工具。</w:t>
      </w:r>
    </w:p>
    <w:p w14:paraId="09B89CF3">
      <w:pPr>
        <w:spacing w:beforeLines="50" w:afterLines="50"/>
        <w:ind w:firstLine="480"/>
        <w:rPr>
          <w:rFonts w:ascii="宋体" w:hAnsi="宋体" w:eastAsia="宋体" w:cs="宋体"/>
          <w:b/>
          <w:sz w:val="24"/>
          <w:szCs w:val="32"/>
          <w:lang w:val="en-GB"/>
        </w:rPr>
      </w:pPr>
      <w:bookmarkStart w:id="99" w:name="_Toc121919094"/>
      <w:bookmarkStart w:id="100" w:name="OLE_LINK1"/>
      <w:r>
        <w:rPr>
          <w:rFonts w:hint="eastAsia" w:ascii="宋体" w:hAnsi="宋体" w:eastAsia="宋体" w:cs="宋体"/>
          <w:b/>
          <w:sz w:val="24"/>
          <w:szCs w:val="32"/>
        </w:rPr>
        <w:t>2.2</w:t>
      </w:r>
      <w:r>
        <w:rPr>
          <w:rFonts w:hint="eastAsia" w:ascii="宋体" w:hAnsi="宋体" w:eastAsia="宋体" w:cs="宋体"/>
          <w:b/>
          <w:sz w:val="24"/>
          <w:szCs w:val="32"/>
          <w:lang w:val="en-GB"/>
        </w:rPr>
        <w:t>性能要求</w:t>
      </w:r>
      <w:bookmarkEnd w:id="99"/>
    </w:p>
    <w:bookmarkEnd w:id="100"/>
    <w:p w14:paraId="2EF3DDA2">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系统应支持7×24小时不间断运行。</w:t>
      </w:r>
    </w:p>
    <w:p w14:paraId="3FDEF2DA">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系统容量：具备大规模并发流量的处理机制与弹性扩容，在云服务器资源无瓶颈的条件下，可支持超500用户同时在线。当系统容量超过上述情况时不能出现系统崩溃的现象，可满足系统高访问压力、大数据处理、高并发访问、高可用性应用的需求。</w:t>
      </w:r>
    </w:p>
    <w:p w14:paraId="7568672F">
      <w:pPr>
        <w:spacing w:beforeLines="50" w:afterLines="50"/>
        <w:ind w:firstLine="480"/>
        <w:rPr>
          <w:rFonts w:ascii="宋体" w:hAnsi="宋体" w:eastAsia="宋体" w:cs="宋体"/>
          <w:sz w:val="24"/>
          <w:szCs w:val="32"/>
          <w:lang w:val="en-GB"/>
        </w:rPr>
      </w:pPr>
      <w:r>
        <w:rPr>
          <w:rFonts w:ascii="宋体" w:hAnsi="宋体" w:eastAsia="宋体" w:cs="宋体"/>
          <w:sz w:val="24"/>
          <w:szCs w:val="32"/>
        </w:rPr>
        <w:t>(3)</w:t>
      </w:r>
      <w:r>
        <w:rPr>
          <w:rFonts w:hint="eastAsia" w:ascii="宋体" w:hAnsi="宋体" w:eastAsia="宋体" w:cs="宋体"/>
          <w:sz w:val="24"/>
          <w:szCs w:val="32"/>
          <w:lang w:val="en-GB"/>
        </w:rPr>
        <w:t>响应指标：在网络稳定的情况下，用户打开页面响应速度≤1秒，点击操作响应速度≤1秒，复杂查询响应速度≤2秒。系统可靠性达到99.9%，无公开安全漏洞。</w:t>
      </w:r>
    </w:p>
    <w:p w14:paraId="201EB8F4">
      <w:pPr>
        <w:spacing w:beforeLines="50" w:afterLines="50"/>
        <w:ind w:firstLine="480"/>
        <w:rPr>
          <w:rFonts w:ascii="宋体" w:hAnsi="宋体" w:eastAsia="宋体" w:cs="宋体"/>
          <w:sz w:val="24"/>
          <w:szCs w:val="32"/>
          <w:lang w:val="en-GB"/>
        </w:rPr>
      </w:pPr>
      <w:r>
        <w:rPr>
          <w:rFonts w:ascii="宋体" w:hAnsi="宋体" w:eastAsia="宋体" w:cs="宋体"/>
          <w:sz w:val="24"/>
          <w:szCs w:val="32"/>
        </w:rPr>
        <w:t>(4)</w:t>
      </w:r>
      <w:r>
        <w:rPr>
          <w:rFonts w:hint="eastAsia" w:ascii="宋体" w:hAnsi="宋体" w:eastAsia="宋体" w:cs="宋体"/>
          <w:sz w:val="24"/>
          <w:szCs w:val="32"/>
          <w:lang w:val="en-GB"/>
        </w:rPr>
        <w:t>可靠性：系统应该具有很强的防错、抗错能力。在7×24连续运行情况下，系统可靠性达到99.99%。平均故障修复时间小于2小时。</w:t>
      </w:r>
    </w:p>
    <w:p w14:paraId="271F4069">
      <w:pPr>
        <w:spacing w:beforeLines="50" w:afterLines="50"/>
        <w:ind w:firstLine="480"/>
        <w:rPr>
          <w:rFonts w:ascii="宋体" w:hAnsi="宋体" w:eastAsia="宋体" w:cs="宋体"/>
          <w:b/>
          <w:sz w:val="24"/>
          <w:szCs w:val="32"/>
          <w:lang w:val="en-GB"/>
        </w:rPr>
      </w:pPr>
      <w:r>
        <w:rPr>
          <w:rFonts w:hint="eastAsia" w:ascii="宋体" w:hAnsi="宋体" w:eastAsia="宋体" w:cs="宋体"/>
          <w:b/>
          <w:sz w:val="24"/>
          <w:szCs w:val="32"/>
        </w:rPr>
        <w:t>2.3</w:t>
      </w:r>
      <w:r>
        <w:rPr>
          <w:rFonts w:hint="eastAsia" w:ascii="宋体" w:hAnsi="宋体" w:eastAsia="宋体" w:cs="宋体"/>
          <w:b/>
          <w:sz w:val="24"/>
          <w:szCs w:val="32"/>
          <w:lang w:val="en-GB"/>
        </w:rPr>
        <w:t>软件技术需求</w:t>
      </w:r>
    </w:p>
    <w:p w14:paraId="1F4B32BF">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成熟产品，具有独立的软件著作权。</w:t>
      </w:r>
    </w:p>
    <w:p w14:paraId="40FB3A93">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操作系统：运行环境系统应兼容windows server、Linux及国产操作系统。后续应能完全支持国产化平台与数据库，系统能独立运行在全国产化环境上。</w:t>
      </w:r>
    </w:p>
    <w:p w14:paraId="46163A80">
      <w:pPr>
        <w:spacing w:beforeLines="50" w:afterLines="50"/>
        <w:ind w:firstLine="480"/>
        <w:rPr>
          <w:rFonts w:ascii="宋体" w:hAnsi="宋体" w:eastAsia="宋体" w:cs="宋体"/>
          <w:sz w:val="24"/>
          <w:szCs w:val="32"/>
          <w:lang w:val="en-GB"/>
        </w:rPr>
      </w:pPr>
      <w:r>
        <w:rPr>
          <w:rFonts w:ascii="宋体" w:hAnsi="宋体" w:eastAsia="宋体" w:cs="宋体"/>
          <w:sz w:val="24"/>
          <w:szCs w:val="32"/>
        </w:rPr>
        <w:t>(3)</w:t>
      </w:r>
      <w:r>
        <w:rPr>
          <w:rFonts w:hint="eastAsia" w:ascii="宋体" w:hAnsi="宋体" w:eastAsia="宋体" w:cs="宋体"/>
          <w:sz w:val="24"/>
          <w:szCs w:val="32"/>
          <w:lang w:val="en-GB"/>
        </w:rPr>
        <w:t>兼容性：应用发布支持WebSphere、Weblogic、resin、Tomcat等主流中间件，支持信创中间件。</w:t>
      </w:r>
    </w:p>
    <w:p w14:paraId="798452D9">
      <w:pPr>
        <w:spacing w:beforeLines="50" w:afterLines="50"/>
        <w:ind w:firstLine="480"/>
        <w:rPr>
          <w:rFonts w:ascii="宋体" w:hAnsi="宋体" w:eastAsia="宋体" w:cs="宋体"/>
          <w:sz w:val="24"/>
          <w:szCs w:val="32"/>
          <w:lang w:val="en-GB"/>
        </w:rPr>
      </w:pPr>
      <w:r>
        <w:rPr>
          <w:rFonts w:ascii="宋体" w:hAnsi="宋体" w:eastAsia="宋体" w:cs="宋体"/>
          <w:sz w:val="24"/>
          <w:szCs w:val="32"/>
        </w:rPr>
        <w:t>(4)</w:t>
      </w:r>
      <w:r>
        <w:rPr>
          <w:rFonts w:hint="eastAsia" w:ascii="宋体" w:hAnsi="宋体" w:eastAsia="宋体" w:cs="宋体"/>
          <w:sz w:val="24"/>
          <w:szCs w:val="32"/>
          <w:lang w:val="en-GB"/>
        </w:rPr>
        <w:t>数据库支持：数据库支持Oracle、MySql、MsSQL、高斯、达梦等主流数据库。</w:t>
      </w:r>
    </w:p>
    <w:p w14:paraId="4FFE40F3">
      <w:pPr>
        <w:spacing w:beforeLines="50" w:afterLines="50"/>
        <w:ind w:firstLine="480"/>
        <w:rPr>
          <w:rFonts w:ascii="宋体" w:hAnsi="宋体" w:eastAsia="宋体" w:cs="宋体"/>
          <w:sz w:val="24"/>
          <w:szCs w:val="32"/>
          <w:lang w:val="en-GB"/>
        </w:rPr>
      </w:pPr>
      <w:r>
        <w:rPr>
          <w:rFonts w:ascii="宋体" w:hAnsi="宋体" w:eastAsia="宋体" w:cs="宋体"/>
          <w:sz w:val="24"/>
          <w:szCs w:val="32"/>
        </w:rPr>
        <w:t>(5)</w:t>
      </w:r>
      <w:r>
        <w:rPr>
          <w:rFonts w:hint="eastAsia" w:ascii="宋体" w:hAnsi="宋体" w:eastAsia="宋体" w:cs="宋体"/>
          <w:sz w:val="24"/>
          <w:szCs w:val="32"/>
          <w:lang w:val="en-GB"/>
        </w:rPr>
        <w:t>部署支持：私有化部署，支持集群部署保证系统的高可用性。</w:t>
      </w:r>
    </w:p>
    <w:p w14:paraId="6D27B790">
      <w:pPr>
        <w:spacing w:beforeLines="50" w:afterLines="50"/>
        <w:ind w:firstLine="480"/>
        <w:rPr>
          <w:rFonts w:ascii="宋体" w:hAnsi="宋体" w:eastAsia="宋体" w:cs="宋体"/>
          <w:sz w:val="24"/>
          <w:szCs w:val="32"/>
          <w:lang w:val="en-GB"/>
        </w:rPr>
      </w:pPr>
      <w:r>
        <w:rPr>
          <w:rFonts w:ascii="宋体" w:hAnsi="宋体" w:eastAsia="宋体" w:cs="宋体"/>
          <w:sz w:val="24"/>
          <w:szCs w:val="32"/>
        </w:rPr>
        <w:t>(6)</w:t>
      </w:r>
      <w:r>
        <w:rPr>
          <w:rFonts w:hint="eastAsia" w:ascii="宋体" w:hAnsi="宋体" w:eastAsia="宋体" w:cs="宋体"/>
          <w:sz w:val="24"/>
          <w:szCs w:val="32"/>
          <w:lang w:val="en-GB"/>
        </w:rPr>
        <w:t>运行环境：支持物理机、虚拟机、云服务器、Docker容器。</w:t>
      </w:r>
    </w:p>
    <w:p w14:paraId="0F526B45">
      <w:pPr>
        <w:spacing w:beforeLines="50" w:afterLines="50"/>
        <w:ind w:firstLine="480"/>
        <w:rPr>
          <w:rFonts w:ascii="宋体" w:hAnsi="宋体" w:eastAsia="宋体" w:cs="宋体"/>
          <w:sz w:val="24"/>
          <w:szCs w:val="32"/>
          <w:lang w:val="en-GB"/>
        </w:rPr>
      </w:pPr>
      <w:r>
        <w:rPr>
          <w:rFonts w:ascii="宋体" w:hAnsi="宋体" w:eastAsia="宋体" w:cs="宋体"/>
          <w:sz w:val="24"/>
          <w:szCs w:val="32"/>
        </w:rPr>
        <w:t>(7)</w:t>
      </w:r>
      <w:r>
        <w:rPr>
          <w:rFonts w:hint="eastAsia" w:ascii="宋体" w:hAnsi="宋体" w:eastAsia="宋体" w:cs="宋体"/>
          <w:sz w:val="24"/>
          <w:szCs w:val="32"/>
          <w:lang w:val="en-GB"/>
        </w:rPr>
        <w:t>浏览器支持：基于B/S模式，支持主流浏览器兼容适配。支持IE（10/11 ）、Edge、Chrome、Safari4以上版本、(MAC系统)、360浏览器(极速、安全)。所有系统功能兼容信创范围内浏览器、文字处理软件等</w:t>
      </w:r>
    </w:p>
    <w:p w14:paraId="544622D7">
      <w:pPr>
        <w:spacing w:beforeLines="50" w:afterLines="50"/>
        <w:ind w:firstLine="480"/>
        <w:rPr>
          <w:rFonts w:ascii="宋体" w:hAnsi="宋体" w:eastAsia="宋体" w:cs="宋体"/>
          <w:b/>
          <w:sz w:val="24"/>
          <w:szCs w:val="32"/>
          <w:lang w:val="en-GB"/>
        </w:rPr>
      </w:pPr>
      <w:bookmarkStart w:id="101" w:name="OLE_LINK2"/>
      <w:r>
        <w:rPr>
          <w:rFonts w:hint="eastAsia" w:ascii="宋体" w:hAnsi="宋体" w:eastAsia="宋体" w:cs="宋体"/>
          <w:b/>
          <w:sz w:val="24"/>
          <w:szCs w:val="32"/>
        </w:rPr>
        <w:t>2.4</w:t>
      </w:r>
      <w:r>
        <w:rPr>
          <w:rFonts w:hint="eastAsia" w:ascii="宋体" w:hAnsi="宋体" w:eastAsia="宋体" w:cs="宋体"/>
          <w:b/>
          <w:sz w:val="24"/>
          <w:szCs w:val="32"/>
          <w:lang w:val="en-GB"/>
        </w:rPr>
        <w:t>系统备份</w:t>
      </w:r>
    </w:p>
    <w:bookmarkEnd w:id="101"/>
    <w:p w14:paraId="0A9C9F90">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提供安全可靠的数据备份与灾难恢复方案，确保数据安全完整，能够根据需要随时恢复文档。</w:t>
      </w:r>
    </w:p>
    <w:p w14:paraId="3260F05C">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对应用系统和数据库使用合理的备份策略，出现问题时应用系统可快速恢复。</w:t>
      </w:r>
    </w:p>
    <w:p w14:paraId="04C0F6A5">
      <w:pPr>
        <w:spacing w:beforeLines="50" w:afterLines="50"/>
        <w:ind w:firstLine="480"/>
        <w:rPr>
          <w:rFonts w:ascii="宋体" w:hAnsi="宋体" w:eastAsia="宋体" w:cs="宋体"/>
          <w:sz w:val="24"/>
          <w:szCs w:val="32"/>
          <w:lang w:val="en-GB"/>
        </w:rPr>
      </w:pPr>
      <w:r>
        <w:rPr>
          <w:rFonts w:ascii="宋体" w:hAnsi="宋体" w:eastAsia="宋体" w:cs="宋体"/>
          <w:sz w:val="24"/>
          <w:szCs w:val="32"/>
        </w:rPr>
        <w:t>(3)</w:t>
      </w:r>
      <w:r>
        <w:rPr>
          <w:rFonts w:hint="eastAsia" w:ascii="宋体" w:hAnsi="宋体" w:eastAsia="宋体" w:cs="宋体"/>
          <w:sz w:val="24"/>
          <w:szCs w:val="32"/>
          <w:lang w:val="en-GB"/>
        </w:rPr>
        <w:t>备份不能影响现有系统的性能。</w:t>
      </w:r>
    </w:p>
    <w:p w14:paraId="768589DD">
      <w:pPr>
        <w:spacing w:beforeLines="50" w:afterLines="50"/>
        <w:ind w:firstLine="480"/>
        <w:rPr>
          <w:rFonts w:ascii="宋体" w:hAnsi="宋体" w:eastAsia="宋体" w:cs="宋体"/>
          <w:sz w:val="24"/>
          <w:szCs w:val="32"/>
          <w:lang w:val="en-GB"/>
        </w:rPr>
      </w:pPr>
      <w:r>
        <w:rPr>
          <w:rFonts w:ascii="宋体" w:hAnsi="宋体" w:eastAsia="宋体" w:cs="宋体"/>
          <w:sz w:val="24"/>
          <w:szCs w:val="32"/>
        </w:rPr>
        <w:t>(4)</w:t>
      </w:r>
      <w:r>
        <w:rPr>
          <w:rFonts w:hint="eastAsia" w:ascii="宋体" w:hAnsi="宋体" w:eastAsia="宋体" w:cs="宋体"/>
          <w:sz w:val="24"/>
          <w:szCs w:val="32"/>
          <w:lang w:val="en-GB"/>
        </w:rPr>
        <w:t>备份系统要求做到支持全备份、增量备份。</w:t>
      </w:r>
    </w:p>
    <w:p w14:paraId="6302E2E4">
      <w:pPr>
        <w:spacing w:beforeLines="50" w:afterLines="50"/>
        <w:ind w:firstLine="480"/>
        <w:rPr>
          <w:rFonts w:ascii="宋体" w:hAnsi="宋体" w:eastAsia="宋体" w:cs="宋体"/>
          <w:sz w:val="24"/>
          <w:szCs w:val="32"/>
          <w:lang w:val="en-GB"/>
        </w:rPr>
      </w:pPr>
      <w:r>
        <w:rPr>
          <w:rFonts w:ascii="宋体" w:hAnsi="宋体" w:eastAsia="宋体" w:cs="宋体"/>
          <w:sz w:val="24"/>
          <w:szCs w:val="32"/>
        </w:rPr>
        <w:t>(5)</w:t>
      </w:r>
      <w:r>
        <w:rPr>
          <w:rFonts w:hint="eastAsia" w:ascii="宋体" w:hAnsi="宋体" w:eastAsia="宋体" w:cs="宋体"/>
          <w:sz w:val="24"/>
          <w:szCs w:val="32"/>
          <w:lang w:val="en-GB"/>
        </w:rPr>
        <w:t>重要系统服务器支持采用双机热备等方案，以保证单一服务器故障不影响或少影响现有信息化系统的正常运行。</w:t>
      </w:r>
    </w:p>
    <w:p w14:paraId="53CA04ED">
      <w:pPr>
        <w:spacing w:beforeLines="50" w:afterLines="50"/>
        <w:ind w:firstLine="480"/>
        <w:rPr>
          <w:rFonts w:ascii="宋体" w:hAnsi="宋体" w:eastAsia="宋体" w:cs="宋体"/>
          <w:b/>
          <w:sz w:val="24"/>
          <w:szCs w:val="32"/>
          <w:lang w:val="en-GB"/>
        </w:rPr>
      </w:pPr>
      <w:bookmarkStart w:id="102" w:name="OLE_LINK3"/>
      <w:bookmarkStart w:id="103" w:name="OLE_LINK4"/>
      <w:r>
        <w:rPr>
          <w:rFonts w:hint="eastAsia" w:ascii="宋体" w:hAnsi="宋体" w:eastAsia="宋体" w:cs="宋体"/>
          <w:b/>
          <w:sz w:val="24"/>
          <w:szCs w:val="32"/>
        </w:rPr>
        <w:t>2.5</w:t>
      </w:r>
      <w:r>
        <w:rPr>
          <w:rFonts w:hint="eastAsia" w:ascii="宋体" w:hAnsi="宋体" w:eastAsia="宋体" w:cs="宋体"/>
          <w:b/>
          <w:sz w:val="24"/>
          <w:szCs w:val="32"/>
          <w:lang w:val="en-GB"/>
        </w:rPr>
        <w:t>模块要求</w:t>
      </w:r>
    </w:p>
    <w:bookmarkEnd w:id="102"/>
    <w:bookmarkEnd w:id="103"/>
    <w:p w14:paraId="0067E74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2.5.1</w:t>
      </w:r>
      <w:r>
        <w:rPr>
          <w:rFonts w:hint="eastAsia" w:ascii="宋体" w:hAnsi="宋体" w:eastAsia="宋体" w:cs="宋体"/>
          <w:sz w:val="24"/>
          <w:szCs w:val="32"/>
          <w:lang w:val="en-GB"/>
        </w:rPr>
        <w:t>表单模块：</w:t>
      </w:r>
    </w:p>
    <w:p w14:paraId="1E7E773F">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支持EXCEL导入生成表单，可以直接生成控件及样式，包括下拉菜单、明细表等。</w:t>
      </w:r>
    </w:p>
    <w:p w14:paraId="56B54382">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可实现权限区段控制、前后端值计算，并可以完成与异构系统的数据交互。</w:t>
      </w:r>
    </w:p>
    <w:p w14:paraId="50862D25">
      <w:pPr>
        <w:spacing w:beforeLines="50" w:afterLines="50"/>
        <w:ind w:firstLine="480"/>
        <w:rPr>
          <w:rFonts w:ascii="宋体" w:hAnsi="宋体" w:eastAsia="宋体" w:cs="宋体"/>
          <w:sz w:val="24"/>
          <w:szCs w:val="32"/>
          <w:lang w:val="en-GB"/>
        </w:rPr>
      </w:pPr>
      <w:r>
        <w:rPr>
          <w:rFonts w:ascii="宋体" w:hAnsi="宋体" w:eastAsia="宋体" w:cs="宋体"/>
          <w:sz w:val="24"/>
          <w:szCs w:val="32"/>
        </w:rPr>
        <w:t>(3)</w:t>
      </w:r>
      <w:r>
        <w:rPr>
          <w:rFonts w:hint="eastAsia" w:ascii="宋体" w:hAnsi="宋体" w:eastAsia="宋体" w:cs="宋体"/>
          <w:sz w:val="24"/>
          <w:szCs w:val="32"/>
          <w:lang w:val="en-GB"/>
        </w:rPr>
        <w:t>权限管控需精确到字段。</w:t>
      </w:r>
    </w:p>
    <w:p w14:paraId="7E967D2F">
      <w:pPr>
        <w:spacing w:beforeLines="50" w:afterLines="50"/>
        <w:ind w:firstLine="480"/>
        <w:rPr>
          <w:rFonts w:ascii="宋体" w:hAnsi="宋体" w:eastAsia="宋体" w:cs="宋体"/>
          <w:sz w:val="24"/>
          <w:szCs w:val="32"/>
          <w:lang w:val="en-GB"/>
        </w:rPr>
      </w:pPr>
      <w:r>
        <w:rPr>
          <w:rFonts w:ascii="宋体" w:hAnsi="宋体" w:eastAsia="宋体" w:cs="宋体"/>
          <w:sz w:val="24"/>
          <w:szCs w:val="32"/>
        </w:rPr>
        <w:t>(4)</w:t>
      </w:r>
      <w:r>
        <w:rPr>
          <w:rFonts w:hint="eastAsia" w:ascii="宋体" w:hAnsi="宋体" w:eastAsia="宋体" w:cs="宋体"/>
          <w:sz w:val="24"/>
          <w:szCs w:val="32"/>
          <w:lang w:val="en-GB"/>
        </w:rPr>
        <w:t>多表单管理，由多个单表单组合而成。可通过流程节点属性中的“对应表单”绑定不同的表单内容，每个表单决定了每个节点用户可以看到哪些字段，可以对哪些字段进行操作。</w:t>
      </w:r>
    </w:p>
    <w:p w14:paraId="20C2F3A9">
      <w:pPr>
        <w:spacing w:beforeLines="50" w:afterLines="50"/>
        <w:ind w:firstLine="480"/>
        <w:rPr>
          <w:rFonts w:ascii="宋体" w:hAnsi="宋体" w:eastAsia="宋体" w:cs="宋体"/>
          <w:sz w:val="24"/>
          <w:szCs w:val="32"/>
          <w:lang w:val="en-GB"/>
        </w:rPr>
      </w:pPr>
      <w:r>
        <w:rPr>
          <w:rFonts w:ascii="宋体" w:hAnsi="宋体" w:eastAsia="宋体" w:cs="宋体"/>
          <w:sz w:val="24"/>
          <w:szCs w:val="32"/>
        </w:rPr>
        <w:t>(5)</w:t>
      </w:r>
      <w:r>
        <w:rPr>
          <w:rFonts w:hint="eastAsia" w:ascii="宋体" w:hAnsi="宋体" w:eastAsia="宋体" w:cs="宋体"/>
          <w:sz w:val="24"/>
          <w:szCs w:val="32"/>
          <w:lang w:val="en-GB"/>
        </w:rPr>
        <w:t>可以控制到表单字段的权限可以配置到一个区域范围中的表单字段的查看、编辑、隐藏等权限。授权用户可以直接从组织架构中指定，或直接通过流程节点指定。</w:t>
      </w:r>
    </w:p>
    <w:p w14:paraId="284FE06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2.5.2</w:t>
      </w:r>
      <w:r>
        <w:rPr>
          <w:rFonts w:hint="eastAsia" w:ascii="宋体" w:hAnsi="宋体" w:eastAsia="宋体" w:cs="宋体"/>
          <w:sz w:val="24"/>
          <w:szCs w:val="32"/>
          <w:lang w:val="en-GB"/>
        </w:rPr>
        <w:t>流程模块</w:t>
      </w:r>
    </w:p>
    <w:p w14:paraId="54E380B3">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图形化流程设计：系统要求提供图形化流程设计功能，可以拖拽的图形化界面方式实现流程的定制和编辑，同时要求流程的定制与组织架构无缝结合，在流程图定制操作上要求具有较强的可用性和便利性。</w:t>
      </w:r>
    </w:p>
    <w:p w14:paraId="08DD9C4E">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支持Excel导入功能，将Excel中的表单和流程审批规则，识别成系统中的流程表单和流程审批路径。</w:t>
      </w:r>
    </w:p>
    <w:p w14:paraId="4997D9BA">
      <w:pPr>
        <w:spacing w:beforeLines="50" w:afterLines="50"/>
        <w:ind w:firstLine="480"/>
        <w:rPr>
          <w:rFonts w:ascii="宋体" w:hAnsi="宋体" w:eastAsia="宋体" w:cs="宋体"/>
          <w:sz w:val="24"/>
          <w:szCs w:val="32"/>
          <w:lang w:val="en-GB"/>
        </w:rPr>
      </w:pPr>
      <w:r>
        <w:rPr>
          <w:rFonts w:ascii="宋体" w:hAnsi="宋体" w:eastAsia="宋体" w:cs="宋体"/>
          <w:sz w:val="24"/>
          <w:szCs w:val="32"/>
        </w:rPr>
        <w:t>(3)</w:t>
      </w:r>
      <w:r>
        <w:rPr>
          <w:rFonts w:hint="eastAsia" w:ascii="宋体" w:hAnsi="宋体" w:eastAsia="宋体" w:cs="宋体"/>
          <w:sz w:val="24"/>
          <w:szCs w:val="32"/>
          <w:lang w:val="en-GB"/>
        </w:rPr>
        <w:t>可以根据需求任意定义流程审批的各种操作，如同意、退回、自由加签、转发、抄送、转办、意见征询等。</w:t>
      </w:r>
    </w:p>
    <w:p w14:paraId="54E2E616">
      <w:pPr>
        <w:spacing w:beforeLines="50" w:afterLines="50"/>
        <w:ind w:firstLine="480"/>
        <w:rPr>
          <w:rFonts w:ascii="宋体" w:hAnsi="宋体" w:eastAsia="宋体" w:cs="宋体"/>
          <w:sz w:val="24"/>
          <w:szCs w:val="32"/>
          <w:lang w:val="en-GB"/>
        </w:rPr>
      </w:pPr>
      <w:r>
        <w:rPr>
          <w:rFonts w:ascii="宋体" w:hAnsi="宋体" w:eastAsia="宋体" w:cs="宋体"/>
          <w:sz w:val="24"/>
          <w:szCs w:val="32"/>
        </w:rPr>
        <w:t>(4)</w:t>
      </w:r>
      <w:r>
        <w:rPr>
          <w:rFonts w:hint="eastAsia" w:ascii="宋体" w:hAnsi="宋体" w:eastAsia="宋体" w:cs="宋体"/>
          <w:sz w:val="24"/>
          <w:szCs w:val="32"/>
          <w:lang w:val="en-GB"/>
        </w:rPr>
        <w:t>流程权限设置灵活，可以控制不同人具有不同的流程发起权限和审批权限，可以控制到字段级权限，不同的人看到的流程的表单信息不同，同时，浏览、搜索、下载附件、打印权限灵活设定。</w:t>
      </w:r>
    </w:p>
    <w:p w14:paraId="171AEE52">
      <w:pPr>
        <w:spacing w:beforeLines="50" w:afterLines="50"/>
        <w:ind w:firstLine="480"/>
        <w:rPr>
          <w:rFonts w:ascii="宋体" w:hAnsi="宋体" w:eastAsia="宋体" w:cs="宋体"/>
          <w:sz w:val="24"/>
          <w:szCs w:val="32"/>
          <w:lang w:val="en-GB"/>
        </w:rPr>
      </w:pPr>
      <w:r>
        <w:rPr>
          <w:rFonts w:ascii="宋体" w:hAnsi="宋体" w:eastAsia="宋体" w:cs="宋体"/>
          <w:sz w:val="24"/>
          <w:szCs w:val="32"/>
        </w:rPr>
        <w:t>(5)</w:t>
      </w:r>
      <w:r>
        <w:rPr>
          <w:rFonts w:hint="eastAsia" w:ascii="宋体" w:hAnsi="宋体" w:eastAsia="宋体" w:cs="宋体"/>
          <w:sz w:val="24"/>
          <w:szCs w:val="32"/>
          <w:lang w:val="en-GB"/>
        </w:rPr>
        <w:t>提供流程审批超时提醒，审批通过提醒，退回提醒等功能，提醒方式必须包括流程提醒、桌面客户端即时消息提醒等多种提醒方式。</w:t>
      </w:r>
    </w:p>
    <w:p w14:paraId="470B3661">
      <w:pPr>
        <w:spacing w:beforeLines="50" w:afterLines="50"/>
        <w:ind w:firstLine="480"/>
        <w:rPr>
          <w:rFonts w:ascii="宋体" w:hAnsi="宋体" w:eastAsia="宋体" w:cs="宋体"/>
          <w:sz w:val="24"/>
          <w:szCs w:val="32"/>
          <w:lang w:val="en-GB"/>
        </w:rPr>
      </w:pPr>
      <w:r>
        <w:rPr>
          <w:rFonts w:ascii="宋体" w:hAnsi="宋体" w:eastAsia="宋体" w:cs="宋体"/>
          <w:sz w:val="24"/>
          <w:szCs w:val="32"/>
        </w:rPr>
        <w:t>(6)</w:t>
      </w:r>
      <w:r>
        <w:rPr>
          <w:rFonts w:hint="eastAsia" w:ascii="宋体" w:hAnsi="宋体" w:eastAsia="宋体" w:cs="宋体"/>
          <w:sz w:val="24"/>
          <w:szCs w:val="32"/>
          <w:lang w:val="en-GB"/>
        </w:rPr>
        <w:t>流程支持多版本，不会因为流程版本的更新导致原流程中的申请单出现问题。</w:t>
      </w:r>
    </w:p>
    <w:p w14:paraId="79594B0E">
      <w:pPr>
        <w:spacing w:beforeLines="50" w:afterLines="50"/>
        <w:ind w:firstLine="480"/>
        <w:rPr>
          <w:rFonts w:ascii="宋体" w:hAnsi="宋体" w:eastAsia="宋体" w:cs="宋体"/>
          <w:sz w:val="24"/>
          <w:szCs w:val="32"/>
          <w:lang w:val="en-GB"/>
        </w:rPr>
      </w:pPr>
      <w:r>
        <w:rPr>
          <w:rFonts w:ascii="宋体" w:hAnsi="宋体" w:eastAsia="宋体" w:cs="宋体"/>
          <w:sz w:val="24"/>
          <w:szCs w:val="32"/>
        </w:rPr>
        <w:t>(7)</w:t>
      </w:r>
      <w:r>
        <w:rPr>
          <w:rFonts w:hint="eastAsia" w:ascii="宋体" w:hAnsi="宋体" w:eastAsia="宋体" w:cs="宋体"/>
          <w:sz w:val="24"/>
          <w:szCs w:val="32"/>
          <w:lang w:val="en-GB"/>
        </w:rPr>
        <w:t>流程支持跨组织得审批功能。</w:t>
      </w:r>
    </w:p>
    <w:p w14:paraId="21697EFF">
      <w:pPr>
        <w:spacing w:beforeLines="50" w:afterLines="50"/>
        <w:ind w:firstLine="480"/>
        <w:rPr>
          <w:rFonts w:ascii="宋体" w:hAnsi="宋体" w:eastAsia="宋体" w:cs="宋体"/>
          <w:sz w:val="24"/>
          <w:szCs w:val="32"/>
          <w:lang w:val="en-GB"/>
        </w:rPr>
      </w:pPr>
      <w:r>
        <w:rPr>
          <w:rFonts w:ascii="宋体" w:hAnsi="宋体" w:eastAsia="宋体" w:cs="宋体"/>
          <w:sz w:val="24"/>
          <w:szCs w:val="32"/>
        </w:rPr>
        <w:t>(8)</w:t>
      </w:r>
      <w:r>
        <w:rPr>
          <w:rFonts w:hint="eastAsia" w:ascii="宋体" w:hAnsi="宋体" w:eastAsia="宋体" w:cs="宋体"/>
          <w:sz w:val="24"/>
          <w:szCs w:val="32"/>
          <w:lang w:val="en-GB"/>
        </w:rPr>
        <w:t>各个流程发起、审批、审批提醒、驳回提醒数据报表，必须可在移动终端操作。</w:t>
      </w:r>
    </w:p>
    <w:p w14:paraId="2DEEAFCB">
      <w:pPr>
        <w:spacing w:beforeLines="50" w:afterLines="50"/>
        <w:ind w:firstLine="480"/>
        <w:rPr>
          <w:rFonts w:ascii="宋体" w:hAnsi="宋体" w:eastAsia="宋体" w:cs="宋体"/>
          <w:sz w:val="24"/>
          <w:szCs w:val="32"/>
          <w:lang w:val="en-GB"/>
        </w:rPr>
      </w:pPr>
      <w:r>
        <w:rPr>
          <w:rFonts w:ascii="宋体" w:hAnsi="宋体" w:eastAsia="宋体" w:cs="宋体"/>
          <w:sz w:val="24"/>
          <w:szCs w:val="32"/>
        </w:rPr>
        <w:t>(9)</w:t>
      </w:r>
      <w:r>
        <w:rPr>
          <w:rFonts w:hint="eastAsia" w:ascii="宋体" w:hAnsi="宋体" w:eastAsia="宋体" w:cs="宋体"/>
          <w:sz w:val="24"/>
          <w:szCs w:val="32"/>
          <w:lang w:val="en-GB"/>
        </w:rPr>
        <w:t>报表需要按照不同职能部门做权限配置了浏览。</w:t>
      </w:r>
    </w:p>
    <w:p w14:paraId="7D479415">
      <w:pPr>
        <w:spacing w:beforeLines="50" w:afterLines="50"/>
        <w:ind w:firstLine="480"/>
        <w:rPr>
          <w:rFonts w:ascii="宋体" w:hAnsi="宋体" w:eastAsia="宋体" w:cs="宋体"/>
          <w:sz w:val="24"/>
          <w:szCs w:val="32"/>
          <w:lang w:val="en-GB"/>
        </w:rPr>
      </w:pPr>
      <w:r>
        <w:rPr>
          <w:rFonts w:ascii="宋体" w:hAnsi="宋体" w:eastAsia="宋体" w:cs="宋体"/>
          <w:sz w:val="24"/>
          <w:szCs w:val="32"/>
        </w:rPr>
        <w:t>(10)</w:t>
      </w:r>
      <w:r>
        <w:rPr>
          <w:rFonts w:hint="eastAsia" w:ascii="宋体" w:hAnsi="宋体" w:eastAsia="宋体" w:cs="宋体"/>
          <w:sz w:val="24"/>
          <w:szCs w:val="32"/>
          <w:lang w:val="en-GB"/>
        </w:rPr>
        <w:t>可以实现跨单据勾连（例如：出差申请→出差报告→差旅报销→数据分析）。</w:t>
      </w:r>
    </w:p>
    <w:p w14:paraId="42BEA6DC">
      <w:pPr>
        <w:spacing w:beforeLines="50" w:afterLines="50"/>
        <w:ind w:firstLine="480"/>
        <w:rPr>
          <w:rFonts w:ascii="宋体" w:hAnsi="宋体" w:eastAsia="宋体" w:cs="宋体"/>
          <w:sz w:val="24"/>
          <w:szCs w:val="32"/>
          <w:lang w:val="en-GB"/>
        </w:rPr>
      </w:pPr>
      <w:r>
        <w:rPr>
          <w:rFonts w:ascii="宋体" w:hAnsi="宋体" w:eastAsia="宋体" w:cs="宋体"/>
          <w:sz w:val="24"/>
          <w:szCs w:val="32"/>
        </w:rPr>
        <w:t>(11)</w:t>
      </w:r>
      <w:r>
        <w:rPr>
          <w:rFonts w:hint="eastAsia" w:ascii="宋体" w:hAnsi="宋体" w:eastAsia="宋体" w:cs="宋体"/>
          <w:sz w:val="24"/>
          <w:szCs w:val="32"/>
          <w:lang w:val="en-GB"/>
        </w:rPr>
        <w:t>可以实现流程的数据协同，如报销的时候可以看到预算的信息，看到报销的标准，历史的报销信息等。</w:t>
      </w:r>
    </w:p>
    <w:p w14:paraId="4DB541F4">
      <w:pPr>
        <w:spacing w:beforeLines="50" w:afterLines="50"/>
        <w:ind w:firstLine="480"/>
        <w:rPr>
          <w:rFonts w:ascii="宋体" w:hAnsi="宋体" w:eastAsia="宋体" w:cs="宋体"/>
          <w:sz w:val="24"/>
          <w:szCs w:val="32"/>
          <w:lang w:val="en-GB"/>
        </w:rPr>
      </w:pPr>
      <w:r>
        <w:rPr>
          <w:rFonts w:ascii="宋体" w:hAnsi="宋体" w:eastAsia="宋体" w:cs="宋体"/>
          <w:sz w:val="24"/>
          <w:szCs w:val="32"/>
        </w:rPr>
        <w:t>(12)</w:t>
      </w:r>
      <w:r>
        <w:rPr>
          <w:rFonts w:hint="eastAsia" w:ascii="宋体" w:hAnsi="宋体" w:eastAsia="宋体" w:cs="宋体"/>
          <w:sz w:val="24"/>
          <w:szCs w:val="32"/>
          <w:lang w:val="en-GB"/>
        </w:rPr>
        <w:t>可以随时监控流程的流转情况，针对一些流程异常情况需提供提醒，便于流程负责人及时干预。</w:t>
      </w:r>
    </w:p>
    <w:p w14:paraId="4A719AB2">
      <w:pPr>
        <w:spacing w:beforeLines="50" w:afterLines="50"/>
        <w:ind w:firstLine="480"/>
        <w:rPr>
          <w:rFonts w:ascii="宋体" w:hAnsi="宋体" w:eastAsia="宋体" w:cs="宋体"/>
          <w:sz w:val="24"/>
          <w:szCs w:val="32"/>
          <w:lang w:val="en-GB"/>
        </w:rPr>
      </w:pPr>
      <w:r>
        <w:rPr>
          <w:rFonts w:ascii="宋体" w:hAnsi="宋体" w:eastAsia="宋体" w:cs="宋体"/>
          <w:sz w:val="24"/>
          <w:szCs w:val="32"/>
        </w:rPr>
        <w:t>(13)</w:t>
      </w:r>
      <w:r>
        <w:rPr>
          <w:rFonts w:hint="eastAsia" w:ascii="宋体" w:hAnsi="宋体" w:eastAsia="宋体" w:cs="宋体"/>
          <w:sz w:val="24"/>
          <w:szCs w:val="32"/>
          <w:lang w:val="en-GB"/>
        </w:rPr>
        <w:t>提供根据不同流程设置不同代理人功能，流程代理需要支持时间段设置；</w:t>
      </w:r>
    </w:p>
    <w:p w14:paraId="74816371">
      <w:pPr>
        <w:spacing w:beforeLines="50" w:afterLines="50"/>
        <w:ind w:firstLine="480"/>
        <w:rPr>
          <w:rFonts w:ascii="宋体" w:hAnsi="宋体" w:eastAsia="宋体" w:cs="宋体"/>
          <w:sz w:val="24"/>
          <w:szCs w:val="32"/>
          <w:lang w:val="en-GB"/>
        </w:rPr>
      </w:pPr>
      <w:r>
        <w:rPr>
          <w:rFonts w:ascii="宋体" w:hAnsi="宋体" w:eastAsia="宋体" w:cs="宋体"/>
          <w:sz w:val="24"/>
          <w:szCs w:val="32"/>
        </w:rPr>
        <w:t>(14)</w:t>
      </w:r>
      <w:r>
        <w:rPr>
          <w:rFonts w:hint="eastAsia" w:ascii="宋体" w:hAnsi="宋体" w:eastAsia="宋体" w:cs="宋体"/>
          <w:sz w:val="24"/>
          <w:szCs w:val="32"/>
          <w:lang w:val="en-GB"/>
        </w:rPr>
        <w:t>流程自动触发：可以根据设定时间、根据事件（如新建文档、系统流程审批等）自动触发启动工作流。</w:t>
      </w:r>
    </w:p>
    <w:p w14:paraId="28B2342F">
      <w:pPr>
        <w:spacing w:beforeLines="50" w:afterLines="50"/>
        <w:ind w:firstLine="480"/>
        <w:rPr>
          <w:rFonts w:ascii="宋体" w:hAnsi="宋体" w:eastAsia="宋体" w:cs="宋体"/>
          <w:sz w:val="24"/>
          <w:szCs w:val="32"/>
          <w:lang w:val="en-GB"/>
        </w:rPr>
      </w:pPr>
      <w:r>
        <w:rPr>
          <w:rFonts w:ascii="宋体" w:hAnsi="宋体" w:eastAsia="宋体" w:cs="宋体"/>
          <w:sz w:val="24"/>
          <w:szCs w:val="32"/>
        </w:rPr>
        <w:t>(15)</w:t>
      </w:r>
      <w:r>
        <w:rPr>
          <w:rFonts w:hint="eastAsia" w:ascii="宋体" w:hAnsi="宋体" w:eastAsia="宋体" w:cs="宋体"/>
          <w:sz w:val="24"/>
          <w:szCs w:val="32"/>
          <w:lang w:val="en-GB"/>
        </w:rPr>
        <w:t>工作流效率分析统计：对流程各环节的执行时间、审批记录、工作流的回退等信息进行统计分析，以图形化方式展现流程效率报表，用于分析影响流程执行的瓶颈。</w:t>
      </w:r>
    </w:p>
    <w:p w14:paraId="1551BCAB">
      <w:pPr>
        <w:spacing w:beforeLines="50" w:afterLines="50"/>
        <w:ind w:firstLine="480"/>
        <w:rPr>
          <w:rFonts w:ascii="宋体" w:hAnsi="宋体" w:eastAsia="宋体" w:cs="宋体"/>
          <w:sz w:val="24"/>
          <w:szCs w:val="32"/>
          <w:lang w:val="en-GB"/>
        </w:rPr>
      </w:pPr>
      <w:r>
        <w:rPr>
          <w:rFonts w:ascii="宋体" w:hAnsi="宋体" w:eastAsia="宋体" w:cs="宋体"/>
          <w:sz w:val="24"/>
          <w:szCs w:val="32"/>
        </w:rPr>
        <w:t>(16)</w:t>
      </w:r>
      <w:r>
        <w:rPr>
          <w:rFonts w:hint="eastAsia" w:ascii="宋体" w:hAnsi="宋体" w:eastAsia="宋体" w:cs="宋体"/>
          <w:sz w:val="24"/>
          <w:szCs w:val="32"/>
          <w:lang w:val="en-GB"/>
        </w:rPr>
        <w:t>提供标准流程发起及审批接口，可与业务财务系统集成，提供待办清单接口，提供自动创建申请单接口，并可在审批操作后自动调用业务财务系统提供的标准接口，通知业务财务系统进行相应的业务操作。</w:t>
      </w:r>
    </w:p>
    <w:p w14:paraId="7C42C1B6">
      <w:pPr>
        <w:spacing w:beforeLines="50" w:afterLines="50"/>
        <w:ind w:firstLine="480"/>
        <w:rPr>
          <w:rFonts w:ascii="宋体" w:hAnsi="宋体" w:eastAsia="宋体" w:cs="宋体"/>
          <w:sz w:val="24"/>
          <w:szCs w:val="32"/>
          <w:lang w:val="en-GB"/>
        </w:rPr>
      </w:pPr>
      <w:r>
        <w:rPr>
          <w:rFonts w:ascii="宋体" w:hAnsi="宋体" w:eastAsia="宋体" w:cs="宋体"/>
          <w:sz w:val="24"/>
          <w:szCs w:val="32"/>
        </w:rPr>
        <w:t>(17)</w:t>
      </w:r>
      <w:r>
        <w:rPr>
          <w:rFonts w:hint="eastAsia" w:ascii="宋体" w:hAnsi="宋体" w:eastAsia="宋体" w:cs="宋体"/>
          <w:sz w:val="24"/>
          <w:szCs w:val="32"/>
          <w:lang w:val="en-GB"/>
        </w:rPr>
        <w:t>提供与文档或信息的关联功能，即在填写、查看或者审批申请单时，关联到此申请单相关的审批事项、规章制度等参考文档或参考信息，帮助操作人员进一步了解详细信息。</w:t>
      </w:r>
    </w:p>
    <w:p w14:paraId="5F88555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2.5.3</w:t>
      </w:r>
      <w:r>
        <w:rPr>
          <w:rFonts w:hint="eastAsia" w:ascii="宋体" w:hAnsi="宋体" w:eastAsia="宋体" w:cs="宋体"/>
          <w:sz w:val="24"/>
          <w:szCs w:val="32"/>
          <w:lang w:val="en-GB"/>
        </w:rPr>
        <w:t>组织管理：</w:t>
      </w:r>
    </w:p>
    <w:p w14:paraId="252D8096">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支持多组织管理、分层分级管理；支持虚拟组织，同一人在多个虚拟组织；支持一人多岗，人员离职或岗位变动时可以使用工作交接。</w:t>
      </w:r>
    </w:p>
    <w:p w14:paraId="5AACD752">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2.5.4</w:t>
      </w:r>
      <w:r>
        <w:rPr>
          <w:rFonts w:hint="eastAsia" w:ascii="宋体" w:hAnsi="宋体" w:eastAsia="宋体" w:cs="宋体"/>
          <w:sz w:val="24"/>
          <w:szCs w:val="32"/>
          <w:lang w:val="en-GB"/>
        </w:rPr>
        <w:t>接口管理：</w:t>
      </w:r>
    </w:p>
    <w:p w14:paraId="1A56AF4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数据接口需支持应用软件开发领域主流接口标准和规范，通用性强、安全性好及易于管理。服务器端存储的数据支持加密处理，保障数据存储安全。</w:t>
      </w:r>
    </w:p>
    <w:p w14:paraId="23E7410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2.5.5</w:t>
      </w:r>
      <w:r>
        <w:rPr>
          <w:rFonts w:hint="eastAsia" w:ascii="宋体" w:hAnsi="宋体" w:eastAsia="宋体" w:cs="宋体"/>
          <w:sz w:val="24"/>
          <w:szCs w:val="32"/>
          <w:lang w:val="en-GB"/>
        </w:rPr>
        <w:t>集成及扩展性：</w:t>
      </w:r>
    </w:p>
    <w:p w14:paraId="4A132E6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具备集成和扩展能力，提供常用接口，可视化配置的方式，能快速实现数据、流程集成，提供成熟的集成组件。</w:t>
      </w:r>
    </w:p>
    <w:p w14:paraId="175C516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2.5.6</w:t>
      </w:r>
      <w:r>
        <w:rPr>
          <w:rFonts w:hint="eastAsia" w:ascii="宋体" w:hAnsi="宋体" w:eastAsia="宋体" w:cs="宋体"/>
          <w:sz w:val="24"/>
          <w:szCs w:val="32"/>
          <w:lang w:val="en-GB"/>
        </w:rPr>
        <w:t>安全性：</w:t>
      </w:r>
    </w:p>
    <w:p w14:paraId="3AE8BE3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平台底层支持三员管理模式，即系统管理员、安全管理员、审计管理员三员分立，避免单个管理员权限过大；服务器端存储的数据支持加密处理，保障数据存储安全；要用户的密码在存储时进行加密，保证密码不会外泄；系统能提供账户密码的更换周期控制；密码强弱度的校验等措施，有效保证用户密码的安全使用；能实现HTTPS通道访问加密。</w:t>
      </w:r>
    </w:p>
    <w:p w14:paraId="51EEE35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2.5.7</w:t>
      </w:r>
      <w:r>
        <w:rPr>
          <w:rFonts w:hint="eastAsia" w:ascii="宋体" w:hAnsi="宋体" w:eastAsia="宋体" w:cs="宋体"/>
          <w:sz w:val="24"/>
          <w:szCs w:val="32"/>
          <w:lang w:val="en-GB"/>
        </w:rPr>
        <w:t>桌面客户端：</w:t>
      </w:r>
    </w:p>
    <w:p w14:paraId="23A94CB7">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提供具备类似QQ、微信等主流RTX类的消息管理软件，需至少包含windows客户端，具体应包含以下功能：</w:t>
      </w:r>
    </w:p>
    <w:p w14:paraId="153FEC9E">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通讯录：通讯录列表显示【我的群组】、【我的关注】、【常用联系人】三个分类以及本人所在的部门；</w:t>
      </w:r>
    </w:p>
    <w:p w14:paraId="13DB0AA7">
      <w:pPr>
        <w:spacing w:beforeLines="50" w:afterLines="50"/>
        <w:ind w:firstLine="480"/>
        <w:rPr>
          <w:rFonts w:ascii="宋体" w:hAnsi="宋体" w:eastAsia="宋体" w:cs="宋体"/>
          <w:sz w:val="24"/>
          <w:szCs w:val="32"/>
          <w:lang w:val="en-GB"/>
        </w:rPr>
      </w:pPr>
      <w:r>
        <w:rPr>
          <w:rFonts w:ascii="宋体" w:hAnsi="宋体" w:eastAsia="宋体" w:cs="宋体"/>
          <w:sz w:val="24"/>
          <w:szCs w:val="32"/>
        </w:rPr>
        <w:t>(3)</w:t>
      </w:r>
      <w:r>
        <w:rPr>
          <w:rFonts w:hint="eastAsia" w:ascii="宋体" w:hAnsi="宋体" w:eastAsia="宋体" w:cs="宋体"/>
          <w:sz w:val="24"/>
          <w:szCs w:val="32"/>
          <w:lang w:val="en-GB"/>
        </w:rPr>
        <w:t>个人群组：包括所有我在的群聊，详情栏会显示群聊的名称，群头像以及群人数，显示群聊总数，可以筛选群聊、搜索群聊和创建群聊；</w:t>
      </w:r>
    </w:p>
    <w:p w14:paraId="30E7DCA4">
      <w:pPr>
        <w:spacing w:beforeLines="50" w:afterLines="50"/>
        <w:ind w:firstLine="480"/>
        <w:rPr>
          <w:rFonts w:ascii="宋体" w:hAnsi="宋体" w:eastAsia="宋体" w:cs="宋体"/>
          <w:sz w:val="24"/>
          <w:szCs w:val="32"/>
          <w:lang w:val="en-GB"/>
        </w:rPr>
      </w:pPr>
      <w:r>
        <w:rPr>
          <w:rFonts w:ascii="宋体" w:hAnsi="宋体" w:eastAsia="宋体" w:cs="宋体"/>
          <w:sz w:val="24"/>
          <w:szCs w:val="32"/>
        </w:rPr>
        <w:t>(4)</w:t>
      </w:r>
      <w:r>
        <w:rPr>
          <w:rFonts w:hint="eastAsia" w:ascii="宋体" w:hAnsi="宋体" w:eastAsia="宋体" w:cs="宋体"/>
          <w:sz w:val="24"/>
          <w:szCs w:val="32"/>
          <w:lang w:val="en-GB"/>
        </w:rPr>
        <w:t>文件传输：可以设置默认下载文件的保存位置，以及是否开启下载文件按人员存储的开关；</w:t>
      </w:r>
    </w:p>
    <w:p w14:paraId="42104259">
      <w:pPr>
        <w:spacing w:beforeLines="50" w:afterLines="50"/>
        <w:ind w:firstLine="480"/>
        <w:rPr>
          <w:rFonts w:ascii="宋体" w:hAnsi="宋体" w:eastAsia="宋体" w:cs="宋体"/>
          <w:sz w:val="24"/>
          <w:szCs w:val="32"/>
          <w:lang w:val="en-GB"/>
        </w:rPr>
      </w:pPr>
      <w:r>
        <w:rPr>
          <w:rFonts w:ascii="宋体" w:hAnsi="宋体" w:eastAsia="宋体" w:cs="宋体"/>
          <w:sz w:val="24"/>
          <w:szCs w:val="32"/>
        </w:rPr>
        <w:t>(5)</w:t>
      </w:r>
      <w:r>
        <w:rPr>
          <w:rFonts w:hint="eastAsia" w:ascii="宋体" w:hAnsi="宋体" w:eastAsia="宋体" w:cs="宋体"/>
          <w:sz w:val="24"/>
          <w:szCs w:val="32"/>
          <w:lang w:val="en-GB"/>
        </w:rPr>
        <w:t>通知：包含联系人消息通知、OA流程节点通知、定时通知等；</w:t>
      </w:r>
    </w:p>
    <w:p w14:paraId="31099E9B">
      <w:pPr>
        <w:spacing w:beforeLines="50" w:afterLines="50"/>
        <w:ind w:firstLine="480"/>
        <w:rPr>
          <w:rFonts w:ascii="宋体" w:hAnsi="宋体" w:eastAsia="宋体" w:cs="宋体"/>
          <w:sz w:val="24"/>
          <w:szCs w:val="32"/>
          <w:lang w:val="en-GB"/>
        </w:rPr>
      </w:pPr>
      <w:bookmarkStart w:id="104" w:name="_Toc123837553"/>
      <w:bookmarkStart w:id="105" w:name="_Toc11439"/>
      <w:r>
        <w:rPr>
          <w:rFonts w:hint="eastAsia" w:ascii="宋体" w:hAnsi="宋体" w:eastAsia="宋体" w:cs="宋体"/>
          <w:sz w:val="24"/>
          <w:szCs w:val="32"/>
        </w:rPr>
        <w:t>2.5.8</w:t>
      </w:r>
      <w:r>
        <w:rPr>
          <w:rFonts w:hint="eastAsia" w:ascii="宋体" w:hAnsi="宋体" w:eastAsia="宋体" w:cs="宋体"/>
          <w:sz w:val="24"/>
          <w:szCs w:val="32"/>
          <w:lang w:val="en-GB"/>
        </w:rPr>
        <w:t>硬件方案要求</w:t>
      </w:r>
      <w:bookmarkEnd w:id="104"/>
      <w:bookmarkEnd w:id="105"/>
    </w:p>
    <w:p w14:paraId="08ECD7F8">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本次招标范围不包括硬件设备，但投标方必须提供能够满足系统正常运行所需的硬件要求，系统所需的硬件要求在评标过程中将作为重要的参考因素。由投标方所提供的硬件要求不适用所引起的运行问题，投标方必须承担由此产生的责任。投标方案需要提供建议配置所需的硬件及系统环境要求。</w:t>
      </w:r>
    </w:p>
    <w:p w14:paraId="4B386ECC">
      <w:pPr>
        <w:spacing w:beforeLines="50" w:afterLines="50"/>
        <w:ind w:firstLine="480"/>
        <w:rPr>
          <w:rFonts w:ascii="宋体" w:hAnsi="宋体" w:eastAsia="宋体" w:cs="宋体"/>
          <w:sz w:val="24"/>
          <w:szCs w:val="32"/>
          <w:lang w:val="en-GB"/>
        </w:rPr>
      </w:pPr>
      <w:bookmarkStart w:id="106" w:name="_Toc365318726"/>
      <w:bookmarkStart w:id="107" w:name="_Toc365456503"/>
      <w:bookmarkStart w:id="108" w:name="_Toc123837554"/>
      <w:bookmarkStart w:id="109" w:name="_Toc11722"/>
      <w:r>
        <w:rPr>
          <w:rFonts w:hint="eastAsia" w:ascii="宋体" w:hAnsi="宋体" w:eastAsia="宋体" w:cs="宋体"/>
          <w:sz w:val="24"/>
          <w:szCs w:val="32"/>
        </w:rPr>
        <w:t>2.5.9</w:t>
      </w:r>
      <w:r>
        <w:rPr>
          <w:rFonts w:hint="eastAsia" w:ascii="宋体" w:hAnsi="宋体" w:eastAsia="宋体" w:cs="宋体"/>
          <w:sz w:val="24"/>
          <w:szCs w:val="32"/>
          <w:lang w:val="en-GB"/>
        </w:rPr>
        <w:t>培训要求</w:t>
      </w:r>
      <w:bookmarkEnd w:id="106"/>
      <w:bookmarkEnd w:id="107"/>
      <w:bookmarkEnd w:id="108"/>
      <w:bookmarkEnd w:id="109"/>
    </w:p>
    <w:p w14:paraId="6165EC85">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中标方在系统实施过程中，应对研究院员工及系统管理员进行全方位的知识转移，并使研究院具备独立进行项目实施、维护能力。</w:t>
      </w:r>
    </w:p>
    <w:p w14:paraId="67B9EAE6">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开展分层次的人员培训工作，每次培训后应对参加培训人员进行测试，评估培训成果。培训应具有培训教材、培训环境和高水平的培训讲师。</w:t>
      </w:r>
    </w:p>
    <w:p w14:paraId="7D8DE36B">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将知识转移贯穿到项目实施的过程当中，并在每个关键节点列出需要进行知识转移的内容，在关键节点审查中，均对知识转移成果进行评估。</w:t>
      </w:r>
    </w:p>
    <w:p w14:paraId="7D7ECF74">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中标方应将培训工作分成应用级培训和系统级培训两种。应用级培训指一般用户的基础操作培训和部门信息管理员的日常应用维护的培训；系统级培训指对系统管理员进行简单的流程开发培训和系统管理培训。</w:t>
      </w:r>
    </w:p>
    <w:p w14:paraId="49A25C13">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对一般用户的培训应达到的要求：能够熟练使用供应商所开发的软件。</w:t>
      </w:r>
    </w:p>
    <w:p w14:paraId="623FAF84">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对部门信息系统管理员的培训应达到的要求：可以维护日常应用出现的问题。</w:t>
      </w:r>
    </w:p>
    <w:p w14:paraId="4DBC3225">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对系统管理员的培训应达到的要求：具有熟练查询各种手册和维护手册的能力；能够对系统级的错误进行初步判断的能力；能够独立安装、调试系统；能够独立进行数据备份与恢复；后续新增流程的调研、设计、搭建、测试；同时保证系统管理员有能力对其他新进人员进行一般应用培训。</w:t>
      </w:r>
    </w:p>
    <w:p w14:paraId="54F4C6E5">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中标方须列出详细的培训计划（包括培训方式、时间、课程内容、人数、地点、质量保证等）相关条款进行阐述，并提供培训资料。</w:t>
      </w:r>
    </w:p>
    <w:p w14:paraId="75275121">
      <w:pPr>
        <w:spacing w:beforeLines="50" w:afterLines="50"/>
        <w:ind w:firstLine="480"/>
        <w:rPr>
          <w:rFonts w:ascii="宋体" w:hAnsi="宋体" w:eastAsia="宋体" w:cs="宋体"/>
          <w:sz w:val="24"/>
          <w:szCs w:val="32"/>
          <w:lang w:val="en-GB"/>
        </w:rPr>
      </w:pPr>
      <w:bookmarkStart w:id="110" w:name="_Toc123837555"/>
      <w:bookmarkStart w:id="111" w:name="_Toc5599"/>
      <w:r>
        <w:rPr>
          <w:rFonts w:hint="eastAsia" w:ascii="宋体" w:hAnsi="宋体" w:eastAsia="宋体" w:cs="宋体"/>
          <w:sz w:val="24"/>
          <w:szCs w:val="32"/>
        </w:rPr>
        <w:t>2.5.10</w:t>
      </w:r>
      <w:r>
        <w:rPr>
          <w:rFonts w:hint="eastAsia" w:ascii="宋体" w:hAnsi="宋体" w:eastAsia="宋体" w:cs="宋体"/>
          <w:sz w:val="24"/>
          <w:szCs w:val="32"/>
          <w:lang w:val="en-GB"/>
        </w:rPr>
        <w:t>实施要求</w:t>
      </w:r>
      <w:bookmarkEnd w:id="110"/>
      <w:bookmarkEnd w:id="111"/>
    </w:p>
    <w:p w14:paraId="5D7BF421">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为保证项目按时按质顺利进行，中标人应提供详细的项目实施时间表（以天为单位）和各阶段各方人员安排及相关的工作内容；提出完整、合理、可行的项目管理计划，其中包括关于项目进度控制、质量控制、风险控制、合同管理、文档管理以及与本项目相关的协调工作等的详细描述。</w:t>
      </w:r>
    </w:p>
    <w:p w14:paraId="2B738A57">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项目实施中必须根据甲方需求进行开发设计、实施，以满足甲方部门间信息共享的需求。</w:t>
      </w:r>
    </w:p>
    <w:p w14:paraId="43ADA1C0">
      <w:pPr>
        <w:spacing w:beforeLines="50" w:afterLines="50"/>
        <w:ind w:firstLine="480"/>
        <w:rPr>
          <w:rFonts w:ascii="宋体" w:hAnsi="宋体" w:eastAsia="宋体" w:cs="宋体"/>
          <w:sz w:val="24"/>
          <w:szCs w:val="32"/>
          <w:lang w:val="en-GB"/>
        </w:rPr>
      </w:pPr>
      <w:bookmarkStart w:id="112" w:name="_Toc5793"/>
      <w:bookmarkStart w:id="113" w:name="_Toc123837556"/>
      <w:r>
        <w:rPr>
          <w:rFonts w:hint="eastAsia" w:ascii="宋体" w:hAnsi="宋体" w:eastAsia="宋体" w:cs="宋体"/>
          <w:sz w:val="24"/>
          <w:szCs w:val="32"/>
        </w:rPr>
        <w:t>2.5.11</w:t>
      </w:r>
      <w:r>
        <w:rPr>
          <w:rFonts w:hint="eastAsia" w:ascii="宋体" w:hAnsi="宋体" w:eastAsia="宋体" w:cs="宋体"/>
          <w:sz w:val="24"/>
          <w:szCs w:val="32"/>
          <w:lang w:val="en-GB"/>
        </w:rPr>
        <w:t>提供持续开发及运维服务</w:t>
      </w:r>
      <w:bookmarkEnd w:id="112"/>
      <w:bookmarkEnd w:id="113"/>
    </w:p>
    <w:p w14:paraId="451CFB11">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OA协同管理系统是个持续发展的平台，也是个连续运营的平台。中标方必须拥有持续提供后期扩展配置和不间断的运维能力。</w:t>
      </w:r>
    </w:p>
    <w:p w14:paraId="6346126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OA协同管理系统应为管理员提供图形化远程管理控制平台，可实现对服务器在任意时间和在任意操作系统下的图形方式控制，如实现对服务器的开/关机管理；提供硬件故障监控、性能监控、故障监控支持报警功能。</w:t>
      </w:r>
    </w:p>
    <w:p w14:paraId="07FDD5C4">
      <w:pPr>
        <w:spacing w:beforeLines="50" w:afterLines="50"/>
        <w:ind w:firstLine="480"/>
        <w:rPr>
          <w:rFonts w:ascii="宋体" w:hAnsi="宋体" w:eastAsia="宋体" w:cs="宋体"/>
          <w:sz w:val="24"/>
          <w:szCs w:val="32"/>
          <w:highlight w:val="none"/>
        </w:rPr>
      </w:pPr>
      <w:r>
        <w:rPr>
          <w:rFonts w:hint="eastAsia" w:ascii="宋体" w:hAnsi="宋体" w:eastAsia="宋体" w:cs="宋体"/>
          <w:sz w:val="24"/>
          <w:szCs w:val="32"/>
          <w:highlight w:val="none"/>
        </w:rPr>
        <w:t>2.5.12售后服务保障</w:t>
      </w:r>
    </w:p>
    <w:p w14:paraId="15676339">
      <w:pPr>
        <w:spacing w:beforeLines="50" w:afterLines="50"/>
        <w:ind w:firstLine="480"/>
        <w:rPr>
          <w:rFonts w:ascii="宋体" w:hAnsi="宋体" w:eastAsia="宋体" w:cs="宋体"/>
          <w:sz w:val="24"/>
          <w:szCs w:val="32"/>
          <w:highlight w:val="none"/>
          <w:lang w:val="en-GB"/>
        </w:rPr>
      </w:pPr>
      <w:r>
        <w:rPr>
          <w:rFonts w:hint="eastAsia" w:ascii="宋体" w:hAnsi="宋体" w:eastAsia="宋体" w:cs="宋体"/>
          <w:sz w:val="24"/>
          <w:szCs w:val="32"/>
          <w:highlight w:val="none"/>
          <w:lang w:val="en-GB"/>
        </w:rPr>
        <w:t>项目应提供系统上线验收后一年的免费售后服务，包含技术指导和产品升级、维护调整等服务。</w:t>
      </w:r>
    </w:p>
    <w:bookmarkEnd w:id="72"/>
    <w:p w14:paraId="59ED8F95">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65"/>
    </w:p>
    <w:p w14:paraId="49C968DB">
      <w:pPr>
        <w:spacing w:line="360" w:lineRule="auto"/>
        <w:ind w:firstLine="437"/>
        <w:outlineLvl w:val="1"/>
        <w:rPr>
          <w:rFonts w:asciiTheme="minorEastAsia" w:hAnsiTheme="minorEastAsia" w:eastAsiaTheme="minorEastAsia"/>
          <w:b/>
          <w:sz w:val="24"/>
        </w:rPr>
      </w:pPr>
      <w:bookmarkStart w:id="114" w:name="_Toc12542"/>
      <w:bookmarkStart w:id="115" w:name="_Toc3557"/>
      <w:r>
        <w:rPr>
          <w:rFonts w:hint="eastAsia" w:asciiTheme="minorEastAsia" w:hAnsiTheme="minorEastAsia" w:eastAsiaTheme="minorEastAsia"/>
          <w:b/>
          <w:sz w:val="24"/>
        </w:rPr>
        <w:t>一、总则</w:t>
      </w:r>
      <w:bookmarkEnd w:id="114"/>
      <w:bookmarkEnd w:id="115"/>
    </w:p>
    <w:p w14:paraId="3962F0B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7BAE50A9">
      <w:pPr>
        <w:spacing w:line="360" w:lineRule="auto"/>
        <w:ind w:firstLine="437"/>
        <w:outlineLvl w:val="1"/>
        <w:rPr>
          <w:rFonts w:asciiTheme="minorEastAsia" w:hAnsiTheme="minorEastAsia" w:eastAsiaTheme="minorEastAsia"/>
          <w:b/>
          <w:sz w:val="24"/>
        </w:rPr>
      </w:pPr>
      <w:bookmarkStart w:id="116" w:name="_Toc27956"/>
      <w:bookmarkStart w:id="117" w:name="_Toc7624"/>
      <w:r>
        <w:rPr>
          <w:rFonts w:hint="eastAsia" w:asciiTheme="minorEastAsia" w:hAnsiTheme="minorEastAsia" w:eastAsiaTheme="minorEastAsia"/>
          <w:b/>
          <w:sz w:val="24"/>
        </w:rPr>
        <w:t>二、评审方法</w:t>
      </w:r>
      <w:bookmarkEnd w:id="116"/>
      <w:bookmarkEnd w:id="117"/>
    </w:p>
    <w:p w14:paraId="15275C1F">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 xml:space="preserve">2.1初审 </w:t>
      </w:r>
    </w:p>
    <w:p w14:paraId="7AF9DDF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28"/>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651"/>
        <w:gridCol w:w="4556"/>
        <w:gridCol w:w="1898"/>
      </w:tblGrid>
      <w:tr w14:paraId="10FA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5C107D5">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初审表</w:t>
            </w:r>
          </w:p>
        </w:tc>
      </w:tr>
      <w:tr w14:paraId="45C7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268C69A4">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7D05D906">
            <w:pPr>
              <w:pStyle w:val="37"/>
            </w:pPr>
            <w:r>
              <w:rPr>
                <w:rFonts w:hint="eastAsia"/>
              </w:rPr>
              <w:t>审查指标</w:t>
            </w:r>
          </w:p>
        </w:tc>
        <w:tc>
          <w:tcPr>
            <w:tcW w:w="2600" w:type="pct"/>
            <w:tcBorders>
              <w:bottom w:val="single" w:color="auto" w:sz="4" w:space="0"/>
            </w:tcBorders>
            <w:vAlign w:val="center"/>
          </w:tcPr>
          <w:p w14:paraId="127BC31B">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082" w:type="pct"/>
            <w:tcBorders>
              <w:bottom w:val="single" w:color="auto" w:sz="4" w:space="0"/>
            </w:tcBorders>
            <w:vAlign w:val="center"/>
          </w:tcPr>
          <w:p w14:paraId="401D17C8">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5780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tcBorders>
              <w:bottom w:val="single" w:color="auto" w:sz="4" w:space="0"/>
            </w:tcBorders>
            <w:vAlign w:val="center"/>
          </w:tcPr>
          <w:p w14:paraId="45F89A0A">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5BE0783C">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5A94BEFA">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（1）供应商</w:t>
            </w:r>
            <w:r>
              <w:rPr>
                <w:rFonts w:ascii="宋体" w:hAnsi="宋体" w:eastAsia="宋体" w:cs="宋体"/>
                <w:sz w:val="24"/>
                <w:szCs w:val="24"/>
              </w:rPr>
              <w:t>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540658B3">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（2）供应商</w:t>
            </w:r>
            <w:r>
              <w:rPr>
                <w:rFonts w:ascii="宋体" w:hAnsi="宋体" w:eastAsia="宋体" w:cs="宋体"/>
                <w:sz w:val="24"/>
                <w:szCs w:val="24"/>
              </w:rPr>
              <w:t>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4362106F">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（3）供应商</w:t>
            </w:r>
            <w:r>
              <w:rPr>
                <w:rFonts w:ascii="宋体" w:hAnsi="宋体" w:eastAsia="宋体" w:cs="宋体"/>
                <w:sz w:val="24"/>
                <w:szCs w:val="24"/>
              </w:rPr>
              <w:t>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16589A6">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（4）供应商</w:t>
            </w:r>
            <w:r>
              <w:rPr>
                <w:rFonts w:ascii="宋体" w:hAnsi="宋体" w:eastAsia="宋体" w:cs="宋体"/>
                <w:sz w:val="24"/>
                <w:szCs w:val="24"/>
              </w:rPr>
              <w:t>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1621D351">
            <w:pPr>
              <w:spacing w:after="50" w:line="360" w:lineRule="auto"/>
              <w:ind w:right="-10"/>
              <w:jc w:val="left"/>
              <w:rPr>
                <w:rFonts w:ascii="宋体" w:hAnsi="宋体" w:eastAsia="宋体"/>
                <w:sz w:val="24"/>
                <w:szCs w:val="28"/>
              </w:rPr>
            </w:pPr>
            <w:r>
              <w:rPr>
                <w:rFonts w:hint="eastAsia" w:ascii="宋体" w:hAnsi="宋体" w:eastAsia="宋体" w:cs="宋体"/>
                <w:sz w:val="24"/>
                <w:szCs w:val="24"/>
              </w:rPr>
              <w:t>（5）供应商</w:t>
            </w:r>
            <w:r>
              <w:rPr>
                <w:rFonts w:ascii="宋体" w:hAnsi="宋体" w:eastAsia="宋体" w:cs="宋体"/>
                <w:sz w:val="24"/>
                <w:szCs w:val="24"/>
              </w:rPr>
              <w:t>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1082" w:type="pct"/>
            <w:vAlign w:val="center"/>
          </w:tcPr>
          <w:p w14:paraId="7E99B4DB">
            <w:pPr>
              <w:spacing w:line="360" w:lineRule="auto"/>
              <w:jc w:val="left"/>
              <w:rPr>
                <w:rFonts w:ascii="宋体" w:hAnsi="宋体" w:eastAsia="宋体"/>
                <w:sz w:val="24"/>
              </w:rPr>
            </w:pPr>
            <w:r>
              <w:rPr>
                <w:rFonts w:hint="eastAsia" w:ascii="宋体" w:hAnsi="宋体" w:eastAsia="宋体" w:cs="宋体"/>
                <w:sz w:val="24"/>
                <w:szCs w:val="24"/>
              </w:rPr>
              <w:t>提供材料</w:t>
            </w:r>
            <w:r>
              <w:rPr>
                <w:rFonts w:hint="eastAsia" w:ascii="宋体" w:hAnsi="宋体" w:eastAsia="宋体" w:cs="宋体"/>
                <w:sz w:val="24"/>
                <w:szCs w:val="24"/>
                <w:lang w:val="en-US" w:eastAsia="zh-CN"/>
              </w:rPr>
              <w:t>复印件加盖公章</w:t>
            </w:r>
            <w:r>
              <w:rPr>
                <w:rFonts w:hint="eastAsia" w:ascii="宋体" w:hAnsi="宋体" w:eastAsia="宋体" w:cs="宋体"/>
                <w:sz w:val="24"/>
                <w:szCs w:val="24"/>
              </w:rPr>
              <w:t>或电子证照，应完整的体现出材料或电子证照全部内容。联合体磋商的联合体各方均须提供。</w:t>
            </w:r>
          </w:p>
        </w:tc>
      </w:tr>
      <w:tr w14:paraId="40A4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21D48D83">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395BB628">
            <w:pPr>
              <w:spacing w:after="50" w:line="360" w:lineRule="auto"/>
              <w:ind w:right="-10"/>
              <w:jc w:val="center"/>
              <w:rPr>
                <w:rFonts w:ascii="宋体" w:hAnsi="宋体" w:eastAsia="宋体"/>
                <w:sz w:val="24"/>
                <w:szCs w:val="28"/>
              </w:rPr>
            </w:pPr>
            <w:r>
              <w:rPr>
                <w:rFonts w:hint="eastAsia" w:ascii="宋体" w:hAnsi="宋体" w:eastAsia="宋体"/>
                <w:sz w:val="24"/>
                <w:szCs w:val="18"/>
              </w:rPr>
              <w:t>供应商资格声明书</w:t>
            </w:r>
          </w:p>
        </w:tc>
        <w:tc>
          <w:tcPr>
            <w:tcW w:w="2600" w:type="pct"/>
            <w:tcBorders>
              <w:bottom w:val="single" w:color="auto" w:sz="4" w:space="0"/>
            </w:tcBorders>
            <w:vAlign w:val="center"/>
          </w:tcPr>
          <w:p w14:paraId="22F470AD">
            <w:pPr>
              <w:spacing w:after="50" w:line="360" w:lineRule="auto"/>
              <w:ind w:right="-10"/>
              <w:jc w:val="left"/>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w:t>
            </w:r>
            <w:r>
              <w:rPr>
                <w:rFonts w:hint="eastAsia" w:ascii="宋体" w:hAnsi="宋体" w:eastAsia="宋体" w:cs="宋体"/>
                <w:sz w:val="24"/>
                <w:szCs w:val="24"/>
              </w:rPr>
              <w:t>磋商</w:t>
            </w:r>
            <w:r>
              <w:rPr>
                <w:rFonts w:ascii="宋体" w:hAnsi="宋体" w:eastAsia="宋体" w:cs="宋体"/>
                <w:sz w:val="24"/>
                <w:szCs w:val="24"/>
              </w:rPr>
              <w:t>文件要求的《</w:t>
            </w:r>
            <w:r>
              <w:rPr>
                <w:rFonts w:hint="eastAsia" w:ascii="宋体" w:hAnsi="宋体" w:eastAsia="宋体" w:cs="宋体"/>
                <w:sz w:val="24"/>
                <w:szCs w:val="24"/>
              </w:rPr>
              <w:t>供应商</w:t>
            </w:r>
            <w:r>
              <w:rPr>
                <w:rFonts w:ascii="宋体" w:hAnsi="宋体" w:eastAsia="宋体" w:cs="宋体"/>
                <w:sz w:val="24"/>
                <w:szCs w:val="24"/>
              </w:rPr>
              <w:t>资格声明书》</w:t>
            </w:r>
            <w:r>
              <w:rPr>
                <w:rFonts w:hint="eastAsia" w:ascii="宋体" w:hAnsi="宋体" w:eastAsia="宋体" w:cs="宋体"/>
                <w:sz w:val="24"/>
                <w:szCs w:val="24"/>
              </w:rPr>
              <w:t>。</w:t>
            </w:r>
          </w:p>
        </w:tc>
        <w:tc>
          <w:tcPr>
            <w:tcW w:w="1082" w:type="pct"/>
            <w:vAlign w:val="center"/>
          </w:tcPr>
          <w:p w14:paraId="4871F9AE">
            <w:pPr>
              <w:spacing w:line="360" w:lineRule="auto"/>
              <w:jc w:val="left"/>
              <w:rPr>
                <w:rFonts w:ascii="宋体" w:hAnsi="宋体" w:eastAsia="宋体" w:cs="宋体"/>
                <w:sz w:val="24"/>
                <w:szCs w:val="24"/>
              </w:rPr>
            </w:pPr>
            <w:r>
              <w:rPr>
                <w:rFonts w:hint="eastAsia" w:ascii="宋体" w:hAnsi="宋体" w:eastAsia="宋体"/>
                <w:sz w:val="24"/>
              </w:rPr>
              <w:t>详见第六章响应文件格式。</w:t>
            </w:r>
          </w:p>
        </w:tc>
      </w:tr>
      <w:tr w14:paraId="4E9A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2E753377">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942" w:type="pct"/>
            <w:tcBorders>
              <w:bottom w:val="single" w:color="auto" w:sz="4" w:space="0"/>
            </w:tcBorders>
            <w:vAlign w:val="center"/>
          </w:tcPr>
          <w:p w14:paraId="342C74AC">
            <w:pPr>
              <w:spacing w:after="50" w:line="360" w:lineRule="auto"/>
              <w:ind w:right="-10"/>
              <w:jc w:val="center"/>
              <w:rPr>
                <w:rFonts w:ascii="宋体" w:hAnsi="宋体" w:eastAsia="宋体"/>
                <w:sz w:val="24"/>
                <w:szCs w:val="28"/>
              </w:rPr>
            </w:pPr>
            <w:r>
              <w:rPr>
                <w:rFonts w:hint="eastAsia" w:ascii="宋体" w:hAnsi="宋体" w:eastAsia="宋体"/>
                <w:sz w:val="24"/>
                <w:szCs w:val="18"/>
              </w:rPr>
              <w:t>供应商</w:t>
            </w:r>
            <w:r>
              <w:rPr>
                <w:rFonts w:hint="eastAsia" w:ascii="宋体" w:hAnsi="宋体" w:eastAsia="宋体" w:cs="宋体"/>
                <w:sz w:val="24"/>
                <w:szCs w:val="24"/>
              </w:rPr>
              <w:t>信用记录</w:t>
            </w:r>
          </w:p>
        </w:tc>
        <w:tc>
          <w:tcPr>
            <w:tcW w:w="2600" w:type="pct"/>
            <w:tcBorders>
              <w:bottom w:val="single" w:color="auto" w:sz="4" w:space="0"/>
            </w:tcBorders>
            <w:vAlign w:val="center"/>
          </w:tcPr>
          <w:p w14:paraId="25A96CD4">
            <w:pPr>
              <w:spacing w:after="50" w:line="360" w:lineRule="auto"/>
              <w:ind w:right="-10"/>
              <w:jc w:val="left"/>
            </w:pPr>
            <w:r>
              <w:rPr>
                <w:rFonts w:hint="eastAsia" w:ascii="宋体" w:hAnsi="宋体" w:eastAsia="宋体" w:cs="宋体"/>
                <w:sz w:val="24"/>
                <w:szCs w:val="24"/>
              </w:rPr>
              <w:t>供应商</w:t>
            </w:r>
            <w:r>
              <w:rPr>
                <w:rFonts w:hint="eastAsia" w:ascii="宋体" w:hAnsi="宋体" w:eastAsia="宋体" w:cs="宋体"/>
                <w:sz w:val="24"/>
                <w:szCs w:val="24"/>
                <w:lang w:val="zh-CN"/>
              </w:rPr>
              <w:t>不得存在</w:t>
            </w:r>
            <w:r>
              <w:rPr>
                <w:rFonts w:hint="eastAsia" w:ascii="宋体" w:hAnsi="宋体" w:eastAsia="宋体" w:cs="宋体"/>
                <w:sz w:val="24"/>
                <w:szCs w:val="24"/>
              </w:rPr>
              <w:t>供应商</w:t>
            </w:r>
            <w:r>
              <w:rPr>
                <w:rFonts w:hint="eastAsia" w:ascii="宋体" w:hAnsi="宋体" w:eastAsia="宋体" w:cs="宋体"/>
                <w:sz w:val="24"/>
                <w:szCs w:val="24"/>
                <w:lang w:val="zh-CN"/>
              </w:rPr>
              <w:t>须知正文第1</w:t>
            </w: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3条中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2" w:type="pct"/>
            <w:tcBorders>
              <w:bottom w:val="single" w:color="auto" w:sz="4" w:space="0"/>
            </w:tcBorders>
            <w:vAlign w:val="center"/>
          </w:tcPr>
          <w:p w14:paraId="6A0CCFC0">
            <w:pPr>
              <w:spacing w:line="360" w:lineRule="auto"/>
              <w:jc w:val="left"/>
            </w:pPr>
            <w:r>
              <w:rPr>
                <w:rFonts w:hint="eastAsia" w:ascii="宋体" w:hAnsi="宋体" w:eastAsia="宋体" w:cs="宋体"/>
                <w:sz w:val="24"/>
                <w:szCs w:val="24"/>
              </w:rPr>
              <w:t>无须供应商提供，由采购人或采购代理机构查询。</w:t>
            </w:r>
          </w:p>
        </w:tc>
      </w:tr>
      <w:tr w14:paraId="591F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5977EC7C">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942" w:type="pct"/>
            <w:vAlign w:val="center"/>
          </w:tcPr>
          <w:p w14:paraId="7B01E403">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磋商响应函</w:t>
            </w:r>
          </w:p>
        </w:tc>
        <w:tc>
          <w:tcPr>
            <w:tcW w:w="2600" w:type="pct"/>
            <w:vAlign w:val="center"/>
          </w:tcPr>
          <w:p w14:paraId="1579C3C4">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格式、填写要求符合磋商文件规定并加盖供应商电子签章</w:t>
            </w:r>
          </w:p>
        </w:tc>
        <w:tc>
          <w:tcPr>
            <w:tcW w:w="1082" w:type="pct"/>
            <w:vAlign w:val="center"/>
          </w:tcPr>
          <w:p w14:paraId="79CC07D0">
            <w:pPr>
              <w:adjustRightInd w:val="0"/>
              <w:snapToGrid w:val="0"/>
              <w:spacing w:line="360" w:lineRule="auto"/>
              <w:ind w:right="-10"/>
              <w:jc w:val="center"/>
              <w:rPr>
                <w:rFonts w:asciiTheme="minorEastAsia" w:hAnsiTheme="minorEastAsia" w:eastAsiaTheme="minorEastAsia"/>
                <w:sz w:val="24"/>
              </w:rPr>
            </w:pPr>
            <w:r>
              <w:rPr>
                <w:rFonts w:hint="eastAsia" w:ascii="宋体" w:hAnsi="宋体" w:eastAsia="宋体"/>
                <w:sz w:val="24"/>
              </w:rPr>
              <w:t>详见第六章响应文件格式。</w:t>
            </w:r>
          </w:p>
        </w:tc>
      </w:tr>
      <w:tr w14:paraId="2F17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4E9E1404">
            <w:pPr>
              <w:adjustRightInd w:val="0"/>
              <w:snapToGrid w:val="0"/>
              <w:spacing w:line="360" w:lineRule="auto"/>
              <w:ind w:right="-10"/>
              <w:jc w:val="center"/>
              <w:rPr>
                <w:rFonts w:ascii="宋体" w:hAnsi="宋体" w:eastAsia="宋体"/>
                <w:sz w:val="24"/>
              </w:rPr>
            </w:pPr>
            <w:r>
              <w:rPr>
                <w:rFonts w:hint="eastAsia" w:asciiTheme="minorEastAsia" w:hAnsiTheme="minorEastAsia" w:eastAsiaTheme="minorEastAsia"/>
                <w:sz w:val="24"/>
              </w:rPr>
              <w:t>5</w:t>
            </w:r>
          </w:p>
        </w:tc>
        <w:tc>
          <w:tcPr>
            <w:tcW w:w="942" w:type="pct"/>
            <w:vAlign w:val="center"/>
          </w:tcPr>
          <w:p w14:paraId="757F4FEE">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授权书</w:t>
            </w:r>
          </w:p>
        </w:tc>
        <w:tc>
          <w:tcPr>
            <w:tcW w:w="2600" w:type="pct"/>
            <w:vAlign w:val="center"/>
          </w:tcPr>
          <w:p w14:paraId="0673F782">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格式、填写要求符合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文件规定并加盖</w:t>
            </w:r>
            <w:r>
              <w:rPr>
                <w:rFonts w:hint="eastAsia" w:asciiTheme="minorEastAsia" w:hAnsiTheme="minorEastAsia" w:eastAsiaTheme="minorEastAsia"/>
                <w:sz w:val="24"/>
              </w:rPr>
              <w:t>供应商</w:t>
            </w:r>
            <w:r>
              <w:rPr>
                <w:rFonts w:hint="eastAsia" w:asciiTheme="minorEastAsia" w:hAnsiTheme="minorEastAsia" w:eastAsiaTheme="minorEastAsia"/>
                <w:sz w:val="24"/>
                <w:szCs w:val="28"/>
              </w:rPr>
              <w:t>电子签章</w:t>
            </w:r>
          </w:p>
        </w:tc>
        <w:tc>
          <w:tcPr>
            <w:tcW w:w="1082" w:type="pct"/>
            <w:vAlign w:val="center"/>
          </w:tcPr>
          <w:p w14:paraId="25BB353F">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法定代表人参加磋商的无需此件，提供身份证明即可。详见第六章响应文件格式。</w:t>
            </w:r>
          </w:p>
        </w:tc>
      </w:tr>
      <w:tr w14:paraId="6680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2C58CD21">
            <w:pPr>
              <w:adjustRightInd w:val="0"/>
              <w:snapToGrid w:val="0"/>
              <w:spacing w:line="360" w:lineRule="auto"/>
              <w:ind w:right="-10"/>
              <w:jc w:val="center"/>
              <w:rPr>
                <w:rFonts w:ascii="宋体" w:hAnsi="宋体" w:eastAsia="宋体"/>
                <w:sz w:val="24"/>
              </w:rPr>
            </w:pPr>
            <w:r>
              <w:rPr>
                <w:rFonts w:hint="eastAsia" w:asciiTheme="minorEastAsia" w:hAnsiTheme="minorEastAsia" w:eastAsiaTheme="minorEastAsia"/>
                <w:sz w:val="24"/>
              </w:rPr>
              <w:t>6</w:t>
            </w:r>
          </w:p>
        </w:tc>
        <w:tc>
          <w:tcPr>
            <w:tcW w:w="942" w:type="pct"/>
            <w:vAlign w:val="center"/>
          </w:tcPr>
          <w:p w14:paraId="05234C80">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磋商报价</w:t>
            </w:r>
          </w:p>
        </w:tc>
        <w:tc>
          <w:tcPr>
            <w:tcW w:w="2600" w:type="pct"/>
            <w:vAlign w:val="center"/>
          </w:tcPr>
          <w:p w14:paraId="35658D5B">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rPr>
              <w:t>文件供应商须知正文第9条要求</w:t>
            </w:r>
          </w:p>
        </w:tc>
        <w:tc>
          <w:tcPr>
            <w:tcW w:w="1082" w:type="pct"/>
            <w:vAlign w:val="center"/>
          </w:tcPr>
          <w:p w14:paraId="44A0C009">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p>
        </w:tc>
      </w:tr>
      <w:tr w14:paraId="0862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58CC91F8">
            <w:pPr>
              <w:adjustRightInd w:val="0"/>
              <w:snapToGrid w:val="0"/>
              <w:spacing w:line="360" w:lineRule="auto"/>
              <w:ind w:right="-10"/>
              <w:jc w:val="center"/>
              <w:rPr>
                <w:rFonts w:ascii="宋体" w:hAnsi="宋体" w:eastAsia="宋体"/>
                <w:sz w:val="24"/>
              </w:rPr>
            </w:pPr>
            <w:r>
              <w:rPr>
                <w:rFonts w:hint="eastAsia" w:asciiTheme="minorEastAsia" w:hAnsiTheme="minorEastAsia" w:eastAsiaTheme="minorEastAsia"/>
                <w:sz w:val="24"/>
              </w:rPr>
              <w:t>7</w:t>
            </w:r>
          </w:p>
        </w:tc>
        <w:tc>
          <w:tcPr>
            <w:tcW w:w="942" w:type="pct"/>
            <w:vAlign w:val="center"/>
          </w:tcPr>
          <w:p w14:paraId="210557BA">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商务响应情况</w:t>
            </w:r>
          </w:p>
        </w:tc>
        <w:tc>
          <w:tcPr>
            <w:tcW w:w="2600" w:type="pct"/>
            <w:vAlign w:val="center"/>
          </w:tcPr>
          <w:p w14:paraId="0D886FEB">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文件采购需求中对付款方式、供货及安装期限、供货及安装地点、免费质保期等实质性要求</w:t>
            </w:r>
          </w:p>
        </w:tc>
        <w:tc>
          <w:tcPr>
            <w:tcW w:w="1082" w:type="pct"/>
            <w:vAlign w:val="center"/>
          </w:tcPr>
          <w:p w14:paraId="327DE214">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p>
        </w:tc>
      </w:tr>
      <w:tr w14:paraId="5933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7814D020">
            <w:pPr>
              <w:adjustRightInd w:val="0"/>
              <w:snapToGrid w:val="0"/>
              <w:spacing w:line="360" w:lineRule="auto"/>
              <w:ind w:right="-10"/>
              <w:jc w:val="center"/>
              <w:rPr>
                <w:rFonts w:ascii="宋体" w:hAnsi="宋体" w:eastAsia="宋体"/>
                <w:sz w:val="24"/>
              </w:rPr>
            </w:pPr>
            <w:r>
              <w:rPr>
                <w:rFonts w:hint="eastAsia" w:asciiTheme="minorEastAsia" w:hAnsiTheme="minorEastAsia" w:eastAsiaTheme="minorEastAsia"/>
                <w:sz w:val="24"/>
              </w:rPr>
              <w:t>8</w:t>
            </w:r>
          </w:p>
        </w:tc>
        <w:tc>
          <w:tcPr>
            <w:tcW w:w="942" w:type="pct"/>
            <w:vAlign w:val="center"/>
          </w:tcPr>
          <w:p w14:paraId="3C39B77B">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技术响应情况</w:t>
            </w:r>
          </w:p>
        </w:tc>
        <w:tc>
          <w:tcPr>
            <w:tcW w:w="2600" w:type="pct"/>
            <w:vAlign w:val="center"/>
          </w:tcPr>
          <w:p w14:paraId="164F1E3E">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文件采购需求中货物技术参数等实质性要求</w:t>
            </w:r>
          </w:p>
        </w:tc>
        <w:tc>
          <w:tcPr>
            <w:tcW w:w="1082" w:type="pct"/>
            <w:vAlign w:val="center"/>
          </w:tcPr>
          <w:p w14:paraId="12D5A45D">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p>
        </w:tc>
      </w:tr>
      <w:tr w14:paraId="203B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5CCC7742">
            <w:pPr>
              <w:adjustRightInd w:val="0"/>
              <w:snapToGrid w:val="0"/>
              <w:spacing w:line="360" w:lineRule="auto"/>
              <w:ind w:right="-10"/>
              <w:jc w:val="center"/>
              <w:rPr>
                <w:rFonts w:ascii="宋体" w:hAnsi="宋体" w:eastAsia="宋体"/>
                <w:sz w:val="24"/>
              </w:rPr>
            </w:pPr>
            <w:r>
              <w:rPr>
                <w:rFonts w:hint="eastAsia" w:asciiTheme="minorEastAsia" w:hAnsiTheme="minorEastAsia" w:eastAsiaTheme="minorEastAsia"/>
                <w:sz w:val="24"/>
              </w:rPr>
              <w:t>9</w:t>
            </w:r>
          </w:p>
        </w:tc>
        <w:tc>
          <w:tcPr>
            <w:tcW w:w="942" w:type="pct"/>
            <w:vAlign w:val="center"/>
          </w:tcPr>
          <w:p w14:paraId="1A30EB8F">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其他要求</w:t>
            </w:r>
          </w:p>
        </w:tc>
        <w:tc>
          <w:tcPr>
            <w:tcW w:w="2600" w:type="pct"/>
            <w:vAlign w:val="center"/>
          </w:tcPr>
          <w:p w14:paraId="5FA01D3C">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符合法律、行政法规规定的其他条件或磋商文件列明的其他实质性要求</w:t>
            </w:r>
          </w:p>
        </w:tc>
        <w:tc>
          <w:tcPr>
            <w:tcW w:w="1082" w:type="pct"/>
            <w:vAlign w:val="center"/>
          </w:tcPr>
          <w:p w14:paraId="22BFFC1D">
            <w:pPr>
              <w:adjustRightInd w:val="0"/>
              <w:snapToGrid w:val="0"/>
              <w:spacing w:line="360" w:lineRule="auto"/>
              <w:ind w:right="-10"/>
              <w:jc w:val="center"/>
              <w:rPr>
                <w:rFonts w:ascii="宋体" w:hAnsi="宋体" w:eastAsia="宋体" w:cs="宋体"/>
                <w:sz w:val="24"/>
                <w:szCs w:val="24"/>
              </w:rPr>
            </w:pPr>
          </w:p>
        </w:tc>
      </w:tr>
    </w:tbl>
    <w:p w14:paraId="4D79363E">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6E5F785D">
      <w:pPr>
        <w:spacing w:line="360" w:lineRule="auto"/>
        <w:ind w:firstLine="435"/>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2.2综合评分</w:t>
      </w:r>
    </w:p>
    <w:p w14:paraId="6C09FA2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14:paraId="6DCEB00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80</w:t>
      </w:r>
      <w:r>
        <w:rPr>
          <w:rFonts w:asciiTheme="minorEastAsia" w:hAnsiTheme="minorEastAsia" w:eastAsiaTheme="minorEastAsia"/>
          <w:sz w:val="24"/>
          <w:u w:val="single"/>
        </w:rPr>
        <w:t xml:space="preserve">  </w:t>
      </w:r>
      <w:r>
        <w:rPr>
          <w:rFonts w:asciiTheme="minorEastAsia" w:hAnsiTheme="minorEastAsia" w:eastAsiaTheme="minorEastAsia"/>
          <w:sz w:val="24"/>
        </w:rPr>
        <w:t>%，价格分值占总分值的权重为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20</w:t>
      </w:r>
      <w:r>
        <w:rPr>
          <w:rFonts w:asciiTheme="minorEastAsia" w:hAnsiTheme="minorEastAsia" w:eastAsiaTheme="minorEastAsia"/>
          <w:sz w:val="24"/>
          <w:u w:val="single"/>
        </w:rPr>
        <w:t xml:space="preserve"> </w:t>
      </w:r>
      <w:r>
        <w:rPr>
          <w:rFonts w:asciiTheme="minorEastAsia" w:hAnsiTheme="minorEastAsia" w:eastAsiaTheme="minorEastAsia"/>
          <w:sz w:val="24"/>
        </w:rPr>
        <w:t>%。具体评分细则如下：</w:t>
      </w:r>
    </w:p>
    <w:tbl>
      <w:tblPr>
        <w:tblStyle w:val="28"/>
        <w:tblW w:w="53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719"/>
        <w:gridCol w:w="5065"/>
        <w:gridCol w:w="895"/>
      </w:tblGrid>
      <w:tr w14:paraId="7A98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04" w:type="pct"/>
            <w:tcBorders>
              <w:top w:val="single" w:color="auto" w:sz="4" w:space="0"/>
              <w:left w:val="single" w:color="auto" w:sz="4" w:space="0"/>
              <w:bottom w:val="single" w:color="auto" w:sz="4" w:space="0"/>
              <w:right w:val="single" w:color="auto" w:sz="4" w:space="0"/>
            </w:tcBorders>
            <w:vAlign w:val="center"/>
          </w:tcPr>
          <w:p w14:paraId="5755D3A9">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类别</w:t>
            </w:r>
          </w:p>
        </w:tc>
        <w:tc>
          <w:tcPr>
            <w:tcW w:w="939" w:type="pct"/>
            <w:tcBorders>
              <w:top w:val="single" w:color="auto" w:sz="4" w:space="0"/>
              <w:left w:val="single" w:color="auto" w:sz="4" w:space="0"/>
              <w:bottom w:val="single" w:color="auto" w:sz="4" w:space="0"/>
              <w:right w:val="single" w:color="auto" w:sz="4" w:space="0"/>
            </w:tcBorders>
            <w:vAlign w:val="center"/>
          </w:tcPr>
          <w:p w14:paraId="6B6F22D4">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评分内容</w:t>
            </w:r>
          </w:p>
        </w:tc>
        <w:tc>
          <w:tcPr>
            <w:tcW w:w="2767" w:type="pct"/>
            <w:tcBorders>
              <w:top w:val="single" w:color="auto" w:sz="4" w:space="0"/>
              <w:left w:val="single" w:color="auto" w:sz="4" w:space="0"/>
              <w:bottom w:val="single" w:color="auto" w:sz="4" w:space="0"/>
              <w:right w:val="single" w:color="auto" w:sz="4" w:space="0"/>
            </w:tcBorders>
            <w:vAlign w:val="center"/>
          </w:tcPr>
          <w:p w14:paraId="207408D1">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评分标准</w:t>
            </w:r>
          </w:p>
        </w:tc>
        <w:tc>
          <w:tcPr>
            <w:tcW w:w="489" w:type="pct"/>
            <w:tcBorders>
              <w:top w:val="single" w:color="auto" w:sz="4" w:space="0"/>
              <w:left w:val="single" w:color="auto" w:sz="4" w:space="0"/>
              <w:bottom w:val="single" w:color="auto" w:sz="4" w:space="0"/>
              <w:right w:val="single" w:color="auto" w:sz="4" w:space="0"/>
            </w:tcBorders>
            <w:vAlign w:val="center"/>
          </w:tcPr>
          <w:p w14:paraId="021B5EEA">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分值范围</w:t>
            </w:r>
          </w:p>
        </w:tc>
      </w:tr>
      <w:tr w14:paraId="0FCD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04" w:type="pct"/>
            <w:vMerge w:val="restart"/>
            <w:tcBorders>
              <w:top w:val="single" w:color="auto" w:sz="4" w:space="0"/>
              <w:left w:val="single" w:color="auto" w:sz="4" w:space="0"/>
              <w:right w:val="single" w:color="auto" w:sz="4" w:space="0"/>
            </w:tcBorders>
            <w:vAlign w:val="center"/>
          </w:tcPr>
          <w:p w14:paraId="5FD72C22">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技术资信分</w:t>
            </w:r>
          </w:p>
          <w:p w14:paraId="43677866">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80</w:t>
            </w:r>
            <w:r>
              <w:rPr>
                <w:rFonts w:hint="eastAsia" w:asciiTheme="minorEastAsia" w:hAnsiTheme="minorEastAsia" w:eastAsiaTheme="minorEastAsia"/>
                <w:sz w:val="24"/>
              </w:rPr>
              <w:t>分）</w:t>
            </w:r>
          </w:p>
        </w:tc>
        <w:tc>
          <w:tcPr>
            <w:tcW w:w="939" w:type="pct"/>
            <w:vMerge w:val="restart"/>
            <w:tcBorders>
              <w:top w:val="single" w:color="auto" w:sz="4" w:space="0"/>
              <w:left w:val="single" w:color="auto" w:sz="4" w:space="0"/>
              <w:right w:val="single" w:color="auto" w:sz="4" w:space="0"/>
            </w:tcBorders>
            <w:vAlign w:val="center"/>
          </w:tcPr>
          <w:p w14:paraId="1DD8E98D">
            <w:pPr>
              <w:spacing w:line="400" w:lineRule="exact"/>
              <w:jc w:val="left"/>
              <w:rPr>
                <w:rFonts w:cs="仿宋" w:asciiTheme="minorEastAsia" w:hAnsiTheme="minorEastAsia" w:eastAsiaTheme="minorEastAsia"/>
                <w:bCs/>
                <w:szCs w:val="24"/>
              </w:rPr>
            </w:pPr>
            <w:r>
              <w:rPr>
                <w:rFonts w:hint="eastAsia" w:cs="仿宋" w:asciiTheme="minorEastAsia" w:hAnsiTheme="minorEastAsia" w:eastAsiaTheme="minorEastAsia"/>
                <w:bCs/>
                <w:szCs w:val="24"/>
              </w:rPr>
              <w:t>资质实力</w:t>
            </w:r>
          </w:p>
          <w:p w14:paraId="6EFB87B4">
            <w:pPr>
              <w:spacing w:line="360" w:lineRule="auto"/>
              <w:jc w:val="center"/>
              <w:rPr>
                <w:rFonts w:asciiTheme="minorEastAsia" w:hAnsiTheme="minorEastAsia" w:eastAsiaTheme="minorEastAsia"/>
                <w:bCs/>
                <w:sz w:val="24"/>
              </w:rPr>
            </w:pPr>
            <w:r>
              <w:rPr>
                <w:rFonts w:hint="eastAsia" w:cs="仿宋" w:asciiTheme="minorEastAsia" w:hAnsiTheme="minorEastAsia" w:eastAsiaTheme="minorEastAsia"/>
                <w:bCs/>
                <w:szCs w:val="24"/>
              </w:rPr>
              <w:t>（35分）</w:t>
            </w:r>
          </w:p>
        </w:tc>
        <w:tc>
          <w:tcPr>
            <w:tcW w:w="2767" w:type="pct"/>
            <w:tcBorders>
              <w:top w:val="single" w:color="auto" w:sz="4" w:space="0"/>
              <w:left w:val="single" w:color="auto" w:sz="4" w:space="0"/>
              <w:bottom w:val="single" w:color="auto" w:sz="4" w:space="0"/>
              <w:right w:val="single" w:color="auto" w:sz="4" w:space="0"/>
            </w:tcBorders>
            <w:vAlign w:val="center"/>
          </w:tcPr>
          <w:p w14:paraId="06E9ED92">
            <w:pPr>
              <w:spacing w:line="400" w:lineRule="exact"/>
              <w:ind w:firstLine="210" w:firstLineChars="100"/>
              <w:jc w:val="left"/>
              <w:rPr>
                <w:rFonts w:cs="仿宋" w:asciiTheme="minorEastAsia" w:hAnsiTheme="minorEastAsia" w:eastAsiaTheme="minorEastAsia"/>
                <w:bCs/>
                <w:szCs w:val="24"/>
              </w:rPr>
            </w:pPr>
            <w:r>
              <w:rPr>
                <w:rFonts w:hint="eastAsia" w:cs="仿宋" w:asciiTheme="minorEastAsia" w:hAnsiTheme="minorEastAsia" w:eastAsiaTheme="minorEastAsia"/>
                <w:bCs/>
                <w:szCs w:val="24"/>
              </w:rPr>
              <w:t>投标人或软件原厂具备以下资质证书的，每个得1分。（满分6分）</w:t>
            </w:r>
          </w:p>
          <w:p w14:paraId="304CF9A3">
            <w:pPr>
              <w:spacing w:line="400" w:lineRule="exact"/>
              <w:ind w:firstLine="480"/>
              <w:rPr>
                <w:rFonts w:cs="仿宋" w:asciiTheme="minorEastAsia" w:hAnsiTheme="minorEastAsia" w:eastAsiaTheme="minorEastAsia"/>
                <w:bCs/>
                <w:szCs w:val="24"/>
              </w:rPr>
            </w:pPr>
            <w:r>
              <w:rPr>
                <w:rFonts w:hint="eastAsia" w:cs="仿宋" w:asciiTheme="minorEastAsia" w:hAnsiTheme="minorEastAsia" w:eastAsiaTheme="minorEastAsia"/>
                <w:bCs/>
                <w:szCs w:val="24"/>
              </w:rPr>
              <w:t>1、质量管理体系ISO9001</w:t>
            </w:r>
          </w:p>
          <w:p w14:paraId="17D0C589">
            <w:pPr>
              <w:spacing w:line="400" w:lineRule="exact"/>
              <w:ind w:firstLine="480"/>
              <w:rPr>
                <w:rFonts w:cs="仿宋" w:asciiTheme="minorEastAsia" w:hAnsiTheme="minorEastAsia" w:eastAsiaTheme="minorEastAsia"/>
                <w:bCs/>
                <w:szCs w:val="24"/>
              </w:rPr>
            </w:pPr>
            <w:r>
              <w:rPr>
                <w:rFonts w:hint="eastAsia" w:cs="仿宋" w:asciiTheme="minorEastAsia" w:hAnsiTheme="minorEastAsia" w:eastAsiaTheme="minorEastAsia"/>
                <w:bCs/>
                <w:szCs w:val="24"/>
              </w:rPr>
              <w:t>2、业务连续性管理体系认证</w:t>
            </w:r>
          </w:p>
          <w:p w14:paraId="73B3085F">
            <w:pPr>
              <w:spacing w:line="400" w:lineRule="exact"/>
              <w:ind w:firstLine="480"/>
              <w:rPr>
                <w:rFonts w:cs="仿宋" w:asciiTheme="minorEastAsia" w:hAnsiTheme="minorEastAsia" w:eastAsiaTheme="minorEastAsia"/>
                <w:bCs/>
                <w:szCs w:val="24"/>
              </w:rPr>
            </w:pPr>
            <w:r>
              <w:rPr>
                <w:rFonts w:hint="eastAsia" w:cs="仿宋" w:asciiTheme="minorEastAsia" w:hAnsiTheme="minorEastAsia" w:eastAsiaTheme="minorEastAsia"/>
                <w:bCs/>
                <w:szCs w:val="24"/>
              </w:rPr>
              <w:t>3、信息系统建设和服务能力等级证书（CS3）</w:t>
            </w:r>
          </w:p>
          <w:p w14:paraId="6227B01C">
            <w:pPr>
              <w:spacing w:line="400" w:lineRule="exact"/>
              <w:ind w:firstLine="480"/>
              <w:rPr>
                <w:rFonts w:cs="仿宋" w:asciiTheme="minorEastAsia" w:hAnsiTheme="minorEastAsia" w:eastAsiaTheme="minorEastAsia"/>
                <w:bCs/>
                <w:szCs w:val="24"/>
              </w:rPr>
            </w:pPr>
            <w:r>
              <w:rPr>
                <w:rFonts w:hint="eastAsia" w:cs="仿宋" w:asciiTheme="minorEastAsia" w:hAnsiTheme="minorEastAsia" w:eastAsiaTheme="minorEastAsia"/>
                <w:bCs/>
                <w:szCs w:val="24"/>
              </w:rPr>
              <w:t>4、ISO27001信息安全管理体系认证</w:t>
            </w:r>
          </w:p>
          <w:p w14:paraId="1570C666">
            <w:pPr>
              <w:spacing w:line="400" w:lineRule="exact"/>
              <w:ind w:firstLine="480"/>
              <w:rPr>
                <w:rFonts w:cs="仿宋" w:asciiTheme="minorEastAsia" w:hAnsiTheme="minorEastAsia" w:eastAsiaTheme="minorEastAsia"/>
                <w:bCs/>
                <w:szCs w:val="24"/>
              </w:rPr>
            </w:pPr>
            <w:r>
              <w:rPr>
                <w:rFonts w:hint="eastAsia" w:cs="仿宋" w:asciiTheme="minorEastAsia" w:hAnsiTheme="minorEastAsia" w:eastAsiaTheme="minorEastAsia"/>
                <w:bCs/>
                <w:szCs w:val="24"/>
              </w:rPr>
              <w:t>5、信息技术服务三级ITSS-运行维护</w:t>
            </w:r>
          </w:p>
          <w:p w14:paraId="31074FE2">
            <w:pPr>
              <w:spacing w:line="400" w:lineRule="exact"/>
              <w:ind w:firstLine="480"/>
              <w:rPr>
                <w:rFonts w:asciiTheme="minorEastAsia" w:hAnsiTheme="minorEastAsia" w:eastAsiaTheme="minorEastAsia"/>
                <w:bCs/>
                <w:sz w:val="24"/>
              </w:rPr>
            </w:pPr>
            <w:r>
              <w:rPr>
                <w:rFonts w:hint="eastAsia" w:cs="仿宋" w:asciiTheme="minorEastAsia" w:hAnsiTheme="minorEastAsia" w:eastAsiaTheme="minorEastAsia"/>
                <w:bCs/>
                <w:szCs w:val="24"/>
              </w:rPr>
              <w:t>6、软件能力成熟度模型认证-CMMI5</w:t>
            </w:r>
          </w:p>
        </w:tc>
        <w:tc>
          <w:tcPr>
            <w:tcW w:w="489" w:type="pct"/>
            <w:tcBorders>
              <w:top w:val="single" w:color="auto" w:sz="4" w:space="0"/>
              <w:left w:val="single" w:color="auto" w:sz="4" w:space="0"/>
              <w:right w:val="single" w:color="auto" w:sz="4" w:space="0"/>
            </w:tcBorders>
            <w:vAlign w:val="center"/>
          </w:tcPr>
          <w:p w14:paraId="1EC23C41">
            <w:pPr>
              <w:spacing w:line="400" w:lineRule="exact"/>
              <w:ind w:firstLine="210" w:firstLineChars="100"/>
              <w:jc w:val="left"/>
              <w:rPr>
                <w:rFonts w:asciiTheme="minorEastAsia" w:hAnsiTheme="minorEastAsia" w:eastAsiaTheme="minorEastAsia"/>
                <w:b/>
                <w:bCs/>
                <w:sz w:val="24"/>
              </w:rPr>
            </w:pPr>
            <w:r>
              <w:rPr>
                <w:rFonts w:hint="eastAsia" w:cs="仿宋" w:asciiTheme="minorEastAsia" w:hAnsiTheme="minorEastAsia" w:eastAsiaTheme="minorEastAsia"/>
                <w:bCs/>
                <w:szCs w:val="24"/>
              </w:rPr>
              <w:t>0-6</w:t>
            </w:r>
          </w:p>
        </w:tc>
      </w:tr>
      <w:tr w14:paraId="7147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04" w:type="pct"/>
            <w:vMerge w:val="continue"/>
            <w:tcBorders>
              <w:left w:val="single" w:color="auto" w:sz="4" w:space="0"/>
              <w:right w:val="single" w:color="auto" w:sz="4" w:space="0"/>
            </w:tcBorders>
            <w:vAlign w:val="center"/>
          </w:tcPr>
          <w:p w14:paraId="660282C2">
            <w:pPr>
              <w:spacing w:line="360" w:lineRule="auto"/>
              <w:jc w:val="center"/>
              <w:rPr>
                <w:rFonts w:asciiTheme="minorEastAsia" w:hAnsiTheme="minorEastAsia" w:eastAsiaTheme="minorEastAsia"/>
                <w:sz w:val="24"/>
              </w:rPr>
            </w:pPr>
          </w:p>
        </w:tc>
        <w:tc>
          <w:tcPr>
            <w:tcW w:w="939" w:type="pct"/>
            <w:vMerge w:val="continue"/>
            <w:tcBorders>
              <w:left w:val="single" w:color="auto" w:sz="4" w:space="0"/>
              <w:right w:val="single" w:color="auto" w:sz="4" w:space="0"/>
            </w:tcBorders>
            <w:vAlign w:val="center"/>
          </w:tcPr>
          <w:p w14:paraId="495DBCB3">
            <w:pPr>
              <w:spacing w:line="360" w:lineRule="auto"/>
              <w:jc w:val="center"/>
              <w:rPr>
                <w:rFonts w:asciiTheme="minorEastAsia" w:hAnsiTheme="minorEastAsia" w:eastAsiaTheme="minorEastAsia"/>
                <w:bCs/>
                <w:sz w:val="24"/>
              </w:rPr>
            </w:pPr>
          </w:p>
        </w:tc>
        <w:tc>
          <w:tcPr>
            <w:tcW w:w="2767" w:type="pct"/>
            <w:tcBorders>
              <w:top w:val="single" w:color="auto" w:sz="4" w:space="0"/>
              <w:left w:val="single" w:color="auto" w:sz="4" w:space="0"/>
              <w:bottom w:val="single" w:color="auto" w:sz="4" w:space="0"/>
              <w:right w:val="single" w:color="auto" w:sz="4" w:space="0"/>
            </w:tcBorders>
            <w:vAlign w:val="center"/>
          </w:tcPr>
          <w:p w14:paraId="10339FDD">
            <w:pPr>
              <w:spacing w:line="400" w:lineRule="exact"/>
              <w:jc w:val="left"/>
              <w:rPr>
                <w:rFonts w:cs="仿宋" w:asciiTheme="minorEastAsia" w:hAnsiTheme="minorEastAsia" w:eastAsiaTheme="minorEastAsia"/>
                <w:bCs/>
                <w:szCs w:val="24"/>
              </w:rPr>
            </w:pPr>
            <w:r>
              <w:rPr>
                <w:rFonts w:hint="eastAsia" w:cs="仿宋" w:asciiTheme="minorEastAsia" w:hAnsiTheme="minorEastAsia" w:eastAsiaTheme="minorEastAsia"/>
                <w:bCs/>
                <w:szCs w:val="24"/>
              </w:rPr>
              <w:t>具备以下系统或软件或平台的著作权，每具备一个得2分。（满分6分）</w:t>
            </w:r>
          </w:p>
          <w:p w14:paraId="5BAA7A23">
            <w:pPr>
              <w:spacing w:line="400" w:lineRule="exact"/>
              <w:ind w:firstLine="480"/>
              <w:rPr>
                <w:rFonts w:cs="仿宋" w:asciiTheme="minorEastAsia" w:hAnsiTheme="minorEastAsia" w:eastAsiaTheme="minorEastAsia"/>
                <w:bCs/>
                <w:szCs w:val="24"/>
              </w:rPr>
            </w:pPr>
            <w:r>
              <w:rPr>
                <w:rFonts w:hint="eastAsia" w:cs="仿宋" w:asciiTheme="minorEastAsia" w:hAnsiTheme="minorEastAsia" w:eastAsiaTheme="minorEastAsia"/>
                <w:bCs/>
                <w:szCs w:val="24"/>
              </w:rPr>
              <w:t>1、项目管理著作权</w:t>
            </w:r>
          </w:p>
          <w:p w14:paraId="59C93875">
            <w:pPr>
              <w:spacing w:line="400" w:lineRule="exact"/>
              <w:ind w:firstLine="480"/>
              <w:rPr>
                <w:rFonts w:cs="仿宋" w:asciiTheme="minorEastAsia" w:hAnsiTheme="minorEastAsia" w:eastAsiaTheme="minorEastAsia"/>
                <w:bCs/>
                <w:szCs w:val="24"/>
              </w:rPr>
            </w:pPr>
            <w:r>
              <w:rPr>
                <w:rFonts w:hint="eastAsia" w:cs="仿宋" w:asciiTheme="minorEastAsia" w:hAnsiTheme="minorEastAsia" w:eastAsiaTheme="minorEastAsia"/>
                <w:bCs/>
                <w:szCs w:val="24"/>
              </w:rPr>
              <w:t>2、低代码著作权</w:t>
            </w:r>
          </w:p>
          <w:p w14:paraId="49D8359A">
            <w:pPr>
              <w:spacing w:line="400" w:lineRule="exact"/>
              <w:ind w:firstLine="480"/>
              <w:rPr>
                <w:rFonts w:asciiTheme="minorEastAsia" w:hAnsiTheme="minorEastAsia" w:eastAsiaTheme="minorEastAsia"/>
                <w:bCs/>
                <w:sz w:val="24"/>
              </w:rPr>
            </w:pPr>
            <w:r>
              <w:rPr>
                <w:rFonts w:hint="eastAsia" w:cs="仿宋" w:asciiTheme="minorEastAsia" w:hAnsiTheme="minorEastAsia" w:eastAsiaTheme="minorEastAsia"/>
                <w:bCs/>
                <w:szCs w:val="24"/>
              </w:rPr>
              <w:t>3、即时通讯/统一通讯著作权</w:t>
            </w:r>
          </w:p>
        </w:tc>
        <w:tc>
          <w:tcPr>
            <w:tcW w:w="489" w:type="pct"/>
            <w:tcBorders>
              <w:left w:val="single" w:color="auto" w:sz="4" w:space="0"/>
              <w:bottom w:val="single" w:color="auto" w:sz="4" w:space="0"/>
              <w:right w:val="single" w:color="auto" w:sz="4" w:space="0"/>
            </w:tcBorders>
            <w:vAlign w:val="center"/>
          </w:tcPr>
          <w:p w14:paraId="5045F838">
            <w:pPr>
              <w:spacing w:line="400" w:lineRule="exact"/>
              <w:ind w:firstLine="210" w:firstLineChars="100"/>
              <w:jc w:val="left"/>
              <w:rPr>
                <w:rFonts w:asciiTheme="minorEastAsia" w:hAnsiTheme="minorEastAsia" w:eastAsiaTheme="minorEastAsia"/>
                <w:b/>
                <w:bCs/>
                <w:sz w:val="24"/>
              </w:rPr>
            </w:pPr>
            <w:r>
              <w:rPr>
                <w:rFonts w:hint="eastAsia" w:cs="仿宋" w:asciiTheme="minorEastAsia" w:hAnsiTheme="minorEastAsia" w:eastAsiaTheme="minorEastAsia"/>
                <w:bCs/>
                <w:szCs w:val="24"/>
              </w:rPr>
              <w:t>0-6</w:t>
            </w:r>
          </w:p>
        </w:tc>
      </w:tr>
      <w:tr w14:paraId="3A2C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04" w:type="pct"/>
            <w:vMerge w:val="continue"/>
            <w:tcBorders>
              <w:left w:val="single" w:color="auto" w:sz="4" w:space="0"/>
              <w:right w:val="single" w:color="auto" w:sz="4" w:space="0"/>
            </w:tcBorders>
            <w:vAlign w:val="center"/>
          </w:tcPr>
          <w:p w14:paraId="771BD9D8">
            <w:pPr>
              <w:spacing w:line="360" w:lineRule="auto"/>
              <w:jc w:val="center"/>
              <w:rPr>
                <w:rFonts w:asciiTheme="minorEastAsia" w:hAnsiTheme="minorEastAsia" w:eastAsiaTheme="minorEastAsia"/>
                <w:sz w:val="24"/>
              </w:rPr>
            </w:pPr>
          </w:p>
        </w:tc>
        <w:tc>
          <w:tcPr>
            <w:tcW w:w="939" w:type="pct"/>
            <w:vMerge w:val="continue"/>
            <w:tcBorders>
              <w:left w:val="single" w:color="auto" w:sz="4" w:space="0"/>
              <w:right w:val="single" w:color="auto" w:sz="4" w:space="0"/>
            </w:tcBorders>
            <w:vAlign w:val="center"/>
          </w:tcPr>
          <w:p w14:paraId="3D66BDFB">
            <w:pPr>
              <w:spacing w:line="360" w:lineRule="auto"/>
              <w:jc w:val="center"/>
              <w:rPr>
                <w:rFonts w:asciiTheme="minorEastAsia" w:hAnsiTheme="minorEastAsia" w:eastAsiaTheme="minorEastAsia"/>
                <w:bCs/>
                <w:sz w:val="24"/>
              </w:rPr>
            </w:pPr>
          </w:p>
        </w:tc>
        <w:tc>
          <w:tcPr>
            <w:tcW w:w="2767" w:type="pct"/>
            <w:tcBorders>
              <w:top w:val="single" w:color="auto" w:sz="4" w:space="0"/>
              <w:left w:val="single" w:color="auto" w:sz="4" w:space="0"/>
              <w:bottom w:val="single" w:color="auto" w:sz="4" w:space="0"/>
              <w:right w:val="single" w:color="auto" w:sz="4" w:space="0"/>
            </w:tcBorders>
            <w:vAlign w:val="center"/>
          </w:tcPr>
          <w:p w14:paraId="06412271">
            <w:pPr>
              <w:spacing w:line="400" w:lineRule="exact"/>
              <w:jc w:val="left"/>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软件原厂的OA实力和软件原厂OA业绩证明：</w:t>
            </w:r>
          </w:p>
          <w:p w14:paraId="4ADB3CC5">
            <w:pPr>
              <w:numPr>
                <w:ilvl w:val="0"/>
                <w:numId w:val="1"/>
              </w:numPr>
              <w:spacing w:line="400" w:lineRule="exact"/>
              <w:ind w:firstLine="480"/>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具有勘测、规划设计行业项目OA办公管理系统经验的每提供1个，得3分，本项满分3分；</w:t>
            </w:r>
          </w:p>
          <w:p w14:paraId="28FE3B32">
            <w:pPr>
              <w:spacing w:line="400" w:lineRule="exact"/>
              <w:ind w:firstLine="480"/>
              <w:rPr>
                <w:rFonts w:asciiTheme="minorEastAsia" w:hAnsiTheme="minorEastAsia" w:eastAsiaTheme="minorEastAsia"/>
                <w:bCs/>
                <w:sz w:val="24"/>
                <w:highlight w:val="none"/>
              </w:rPr>
            </w:pPr>
            <w:r>
              <w:rPr>
                <w:rFonts w:hint="eastAsia" w:cs="仿宋" w:asciiTheme="minorEastAsia" w:hAnsiTheme="minorEastAsia" w:eastAsiaTheme="minorEastAsia"/>
                <w:bCs/>
                <w:szCs w:val="24"/>
                <w:highlight w:val="none"/>
              </w:rPr>
              <w:t>2、提供自2021年1月1日至投标截止时间承担过项目管理系统业绩证明的，每提供一个得2分，本项满分10分，响应文件中提供合同的复印件并加盖公章，若合同无法体现服务内容等关键评审因素的，须另附业主（合同甲方）证明材料。</w:t>
            </w:r>
          </w:p>
        </w:tc>
        <w:tc>
          <w:tcPr>
            <w:tcW w:w="489" w:type="pct"/>
            <w:tcBorders>
              <w:left w:val="single" w:color="auto" w:sz="4" w:space="0"/>
              <w:bottom w:val="single" w:color="auto" w:sz="4" w:space="0"/>
              <w:right w:val="single" w:color="auto" w:sz="4" w:space="0"/>
            </w:tcBorders>
            <w:vAlign w:val="center"/>
          </w:tcPr>
          <w:p w14:paraId="52435552">
            <w:pPr>
              <w:spacing w:line="400" w:lineRule="exact"/>
              <w:ind w:firstLine="210" w:firstLineChars="100"/>
              <w:jc w:val="left"/>
              <w:rPr>
                <w:rFonts w:asciiTheme="minorEastAsia" w:hAnsiTheme="minorEastAsia" w:eastAsiaTheme="minorEastAsia"/>
                <w:b/>
                <w:bCs/>
                <w:sz w:val="24"/>
              </w:rPr>
            </w:pPr>
            <w:r>
              <w:rPr>
                <w:rFonts w:hint="eastAsia" w:cs="仿宋" w:asciiTheme="minorEastAsia" w:hAnsiTheme="minorEastAsia" w:eastAsiaTheme="minorEastAsia"/>
                <w:bCs/>
                <w:szCs w:val="24"/>
              </w:rPr>
              <w:t>0-13</w:t>
            </w:r>
          </w:p>
        </w:tc>
      </w:tr>
      <w:tr w14:paraId="546B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04" w:type="pct"/>
            <w:vMerge w:val="continue"/>
            <w:tcBorders>
              <w:left w:val="single" w:color="auto" w:sz="4" w:space="0"/>
              <w:right w:val="single" w:color="auto" w:sz="4" w:space="0"/>
            </w:tcBorders>
            <w:vAlign w:val="center"/>
          </w:tcPr>
          <w:p w14:paraId="4FD6B17C">
            <w:pPr>
              <w:spacing w:line="360" w:lineRule="auto"/>
              <w:jc w:val="center"/>
              <w:rPr>
                <w:rFonts w:asciiTheme="minorEastAsia" w:hAnsiTheme="minorEastAsia" w:eastAsiaTheme="minorEastAsia"/>
                <w:sz w:val="24"/>
                <w:highlight w:val="none"/>
              </w:rPr>
            </w:pPr>
          </w:p>
        </w:tc>
        <w:tc>
          <w:tcPr>
            <w:tcW w:w="939" w:type="pct"/>
            <w:vMerge w:val="continue"/>
            <w:tcBorders>
              <w:left w:val="single" w:color="auto" w:sz="4" w:space="0"/>
              <w:bottom w:val="single" w:color="auto" w:sz="4" w:space="0"/>
              <w:right w:val="single" w:color="auto" w:sz="4" w:space="0"/>
            </w:tcBorders>
            <w:vAlign w:val="center"/>
          </w:tcPr>
          <w:p w14:paraId="1C11C169">
            <w:pPr>
              <w:spacing w:line="360" w:lineRule="auto"/>
              <w:jc w:val="center"/>
              <w:rPr>
                <w:rFonts w:asciiTheme="minorEastAsia" w:hAnsiTheme="minorEastAsia" w:eastAsiaTheme="minorEastAsia"/>
                <w:bCs/>
                <w:sz w:val="24"/>
                <w:highlight w:val="none"/>
              </w:rPr>
            </w:pPr>
          </w:p>
        </w:tc>
        <w:tc>
          <w:tcPr>
            <w:tcW w:w="2767" w:type="pct"/>
            <w:tcBorders>
              <w:top w:val="single" w:color="auto" w:sz="4" w:space="0"/>
              <w:left w:val="single" w:color="auto" w:sz="4" w:space="0"/>
              <w:bottom w:val="single" w:color="auto" w:sz="4" w:space="0"/>
              <w:right w:val="single" w:color="auto" w:sz="4" w:space="0"/>
            </w:tcBorders>
            <w:vAlign w:val="center"/>
          </w:tcPr>
          <w:p w14:paraId="2267E9AF">
            <w:pPr>
              <w:spacing w:line="400" w:lineRule="exact"/>
              <w:ind w:firstLine="480"/>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现场功能演示：根据供应商进行的现场演示进行评审，演示时长不超过20分钟，未提供或时长超过20分钟的本项不得分：（满分10分）</w:t>
            </w:r>
          </w:p>
          <w:p w14:paraId="743D508A">
            <w:pPr>
              <w:spacing w:line="400" w:lineRule="exact"/>
              <w:ind w:firstLine="480"/>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（1）演示内容全面、完整、深刻、有针对性的得10分；</w:t>
            </w:r>
          </w:p>
          <w:p w14:paraId="560113AB">
            <w:pPr>
              <w:spacing w:line="400" w:lineRule="exact"/>
              <w:ind w:firstLine="480"/>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（2）演示内容较全面、基本完整、较深刻、较有针对性，得8分；</w:t>
            </w:r>
          </w:p>
          <w:p w14:paraId="7564402F">
            <w:pPr>
              <w:spacing w:line="400" w:lineRule="exact"/>
              <w:ind w:firstLine="480"/>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（3）演示内容片面、不完整、不深刻、针对性差得6分</w:t>
            </w:r>
          </w:p>
          <w:p w14:paraId="6041EFA1">
            <w:pPr>
              <w:spacing w:line="400" w:lineRule="exact"/>
              <w:ind w:firstLine="480"/>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（4）不提供得0分。</w:t>
            </w:r>
          </w:p>
          <w:p w14:paraId="57BE6F20">
            <w:pPr>
              <w:spacing w:line="400" w:lineRule="exact"/>
              <w:ind w:firstLine="480"/>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注：请各供应商自行携带笔记本电脑进行演示。</w:t>
            </w:r>
          </w:p>
        </w:tc>
        <w:tc>
          <w:tcPr>
            <w:tcW w:w="489" w:type="pct"/>
            <w:tcBorders>
              <w:left w:val="single" w:color="auto" w:sz="4" w:space="0"/>
              <w:bottom w:val="single" w:color="auto" w:sz="4" w:space="0"/>
              <w:right w:val="single" w:color="auto" w:sz="4" w:space="0"/>
            </w:tcBorders>
            <w:vAlign w:val="center"/>
          </w:tcPr>
          <w:p w14:paraId="0EE99489">
            <w:pPr>
              <w:spacing w:line="400" w:lineRule="exact"/>
              <w:ind w:firstLine="210" w:firstLineChars="100"/>
              <w:jc w:val="left"/>
              <w:rPr>
                <w:rFonts w:asciiTheme="minorEastAsia" w:hAnsiTheme="minorEastAsia" w:eastAsiaTheme="minorEastAsia"/>
                <w:b/>
                <w:bCs/>
                <w:sz w:val="24"/>
                <w:highlight w:val="none"/>
              </w:rPr>
            </w:pPr>
            <w:r>
              <w:rPr>
                <w:rFonts w:hint="eastAsia" w:cs="仿宋" w:asciiTheme="minorEastAsia" w:hAnsiTheme="minorEastAsia" w:eastAsiaTheme="minorEastAsia"/>
                <w:bCs/>
                <w:szCs w:val="24"/>
                <w:highlight w:val="none"/>
              </w:rPr>
              <w:t>0-10</w:t>
            </w:r>
          </w:p>
        </w:tc>
      </w:tr>
      <w:tr w14:paraId="783E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pct"/>
            <w:vMerge w:val="continue"/>
            <w:tcBorders>
              <w:left w:val="single" w:color="auto" w:sz="4" w:space="0"/>
              <w:right w:val="single" w:color="auto" w:sz="4" w:space="0"/>
            </w:tcBorders>
            <w:vAlign w:val="center"/>
          </w:tcPr>
          <w:p w14:paraId="0E329E8C">
            <w:pPr>
              <w:spacing w:line="360" w:lineRule="auto"/>
              <w:ind w:firstLine="435"/>
              <w:jc w:val="center"/>
              <w:rPr>
                <w:rFonts w:asciiTheme="minorEastAsia" w:hAnsiTheme="minorEastAsia" w:eastAsiaTheme="minorEastAsia"/>
                <w:b/>
                <w:bCs/>
                <w:sz w:val="24"/>
              </w:rPr>
            </w:pPr>
          </w:p>
        </w:tc>
        <w:tc>
          <w:tcPr>
            <w:tcW w:w="939" w:type="pct"/>
            <w:tcBorders>
              <w:top w:val="single" w:color="auto" w:sz="4" w:space="0"/>
              <w:left w:val="single" w:color="auto" w:sz="4" w:space="0"/>
              <w:bottom w:val="single" w:color="auto" w:sz="4" w:space="0"/>
              <w:right w:val="single" w:color="auto" w:sz="4" w:space="0"/>
            </w:tcBorders>
            <w:vAlign w:val="center"/>
          </w:tcPr>
          <w:p w14:paraId="36EA0FC4">
            <w:pPr>
              <w:spacing w:line="400" w:lineRule="exact"/>
              <w:jc w:val="center"/>
              <w:rPr>
                <w:rFonts w:asciiTheme="minorEastAsia" w:hAnsiTheme="minorEastAsia" w:eastAsiaTheme="minorEastAsia"/>
                <w:bCs/>
                <w:sz w:val="24"/>
              </w:rPr>
            </w:pPr>
            <w:r>
              <w:rPr>
                <w:rFonts w:hint="eastAsia" w:cs="仿宋" w:asciiTheme="minorEastAsia" w:hAnsiTheme="minorEastAsia" w:eastAsiaTheme="minorEastAsia"/>
                <w:bCs/>
                <w:szCs w:val="24"/>
              </w:rPr>
              <w:t>技术响应方案   （20分）</w:t>
            </w:r>
          </w:p>
        </w:tc>
        <w:tc>
          <w:tcPr>
            <w:tcW w:w="2767" w:type="pct"/>
            <w:tcBorders>
              <w:top w:val="single" w:color="auto" w:sz="4" w:space="0"/>
              <w:left w:val="single" w:color="auto" w:sz="4" w:space="0"/>
              <w:bottom w:val="single" w:color="auto" w:sz="4" w:space="0"/>
              <w:right w:val="single" w:color="auto" w:sz="4" w:space="0"/>
            </w:tcBorders>
            <w:vAlign w:val="center"/>
          </w:tcPr>
          <w:p w14:paraId="78F2F4D9">
            <w:pPr>
              <w:spacing w:line="400" w:lineRule="exact"/>
              <w:jc w:val="left"/>
              <w:rPr>
                <w:rFonts w:cs="仿宋" w:asciiTheme="minorEastAsia" w:hAnsiTheme="minorEastAsia" w:eastAsiaTheme="minorEastAsia"/>
                <w:szCs w:val="24"/>
              </w:rPr>
            </w:pPr>
            <w:r>
              <w:rPr>
                <w:rFonts w:hint="eastAsia" w:cs="仿宋" w:asciiTheme="minorEastAsia" w:hAnsiTheme="minorEastAsia" w:eastAsiaTheme="minorEastAsia"/>
                <w:szCs w:val="24"/>
              </w:rPr>
              <w:t>基于项目建设要求，综合考虑投标人所提供技术需求相应方案（包括总体设计方案、安全方案、技术架构设计、性能测试平台方案等），8大技术关键性指标完全响应。（满分20分）：</w:t>
            </w:r>
          </w:p>
          <w:p w14:paraId="3ECB8D45">
            <w:pPr>
              <w:spacing w:line="400" w:lineRule="exact"/>
              <w:ind w:firstLine="480"/>
              <w:jc w:val="left"/>
              <w:rPr>
                <w:rFonts w:cs="仿宋" w:asciiTheme="minorEastAsia" w:hAnsiTheme="minorEastAsia" w:eastAsiaTheme="minorEastAsia"/>
                <w:szCs w:val="24"/>
              </w:rPr>
            </w:pPr>
            <w:r>
              <w:rPr>
                <w:rFonts w:hint="eastAsia" w:cs="仿宋" w:asciiTheme="minorEastAsia" w:hAnsiTheme="minorEastAsia" w:eastAsiaTheme="minorEastAsia"/>
                <w:szCs w:val="24"/>
              </w:rPr>
              <w:t>1、支持私有化部署，能够提供详细的部署方案建议</w:t>
            </w:r>
          </w:p>
          <w:p w14:paraId="50FC4202">
            <w:pPr>
              <w:spacing w:line="400" w:lineRule="exact"/>
              <w:ind w:firstLine="480"/>
              <w:jc w:val="left"/>
              <w:rPr>
                <w:rFonts w:cs="仿宋" w:asciiTheme="minorEastAsia" w:hAnsiTheme="minorEastAsia" w:eastAsiaTheme="minorEastAsia"/>
                <w:szCs w:val="24"/>
              </w:rPr>
            </w:pPr>
            <w:r>
              <w:rPr>
                <w:rFonts w:hint="eastAsia" w:cs="仿宋" w:asciiTheme="minorEastAsia" w:hAnsiTheme="minorEastAsia" w:eastAsiaTheme="minorEastAsia"/>
                <w:szCs w:val="24"/>
              </w:rPr>
              <w:t>2、满足前后端分离、松耦合的技术架构</w:t>
            </w:r>
          </w:p>
          <w:p w14:paraId="2B52B398">
            <w:pPr>
              <w:spacing w:line="400" w:lineRule="exact"/>
              <w:ind w:firstLine="480"/>
              <w:jc w:val="left"/>
              <w:rPr>
                <w:rFonts w:cs="仿宋" w:asciiTheme="minorEastAsia" w:hAnsiTheme="minorEastAsia" w:eastAsiaTheme="minorEastAsia"/>
                <w:szCs w:val="24"/>
              </w:rPr>
            </w:pPr>
            <w:r>
              <w:rPr>
                <w:rFonts w:hint="eastAsia" w:cs="仿宋" w:asciiTheme="minorEastAsia" w:hAnsiTheme="minorEastAsia" w:eastAsiaTheme="minorEastAsia"/>
                <w:szCs w:val="24"/>
              </w:rPr>
              <w:t xml:space="preserve">3、平台需要有无侵入式开发能力，二次开发不影响升级。同时要求具备网页端的前端开发平台，并提供相应的软件著作权 </w:t>
            </w:r>
          </w:p>
          <w:p w14:paraId="0AB45D1F">
            <w:pPr>
              <w:spacing w:line="400" w:lineRule="exact"/>
              <w:ind w:firstLine="480"/>
              <w:jc w:val="left"/>
              <w:rPr>
                <w:rFonts w:cs="仿宋" w:asciiTheme="minorEastAsia" w:hAnsiTheme="minorEastAsia" w:eastAsiaTheme="minorEastAsia"/>
                <w:szCs w:val="24"/>
              </w:rPr>
            </w:pPr>
            <w:r>
              <w:rPr>
                <w:rFonts w:hint="eastAsia" w:cs="仿宋" w:asciiTheme="minorEastAsia" w:hAnsiTheme="minorEastAsia" w:eastAsiaTheme="minorEastAsia"/>
                <w:szCs w:val="24"/>
              </w:rPr>
              <w:t>4、系统安全上，具备完善的安全管理方案，包括真实身份认证、三员分立、容灾备份、权限级别控制等</w:t>
            </w:r>
          </w:p>
          <w:p w14:paraId="6FA87B16">
            <w:pPr>
              <w:spacing w:line="400" w:lineRule="exact"/>
              <w:ind w:firstLine="480"/>
              <w:jc w:val="left"/>
              <w:rPr>
                <w:rFonts w:cs="仿宋" w:asciiTheme="minorEastAsia" w:hAnsiTheme="minorEastAsia" w:eastAsiaTheme="minorEastAsia"/>
                <w:szCs w:val="24"/>
              </w:rPr>
            </w:pPr>
            <w:r>
              <w:rPr>
                <w:rFonts w:hint="eastAsia" w:cs="仿宋" w:asciiTheme="minorEastAsia" w:hAnsiTheme="minorEastAsia" w:eastAsiaTheme="minorEastAsia"/>
                <w:szCs w:val="24"/>
              </w:rPr>
              <w:t xml:space="preserve">5、平台自身具有运维管理中心，系统日志中心，安全监控中心、升级管理中心： </w:t>
            </w:r>
          </w:p>
          <w:p w14:paraId="39AAED6E">
            <w:pPr>
              <w:spacing w:line="400" w:lineRule="exact"/>
              <w:ind w:firstLine="480"/>
              <w:jc w:val="left"/>
              <w:rPr>
                <w:rFonts w:cs="仿宋" w:asciiTheme="minorEastAsia" w:hAnsiTheme="minorEastAsia" w:eastAsiaTheme="minorEastAsia"/>
                <w:szCs w:val="24"/>
              </w:rPr>
            </w:pPr>
            <w:r>
              <w:rPr>
                <w:rFonts w:hint="eastAsia" w:cs="仿宋" w:asciiTheme="minorEastAsia" w:hAnsiTheme="minorEastAsia" w:eastAsiaTheme="minorEastAsia"/>
                <w:szCs w:val="24"/>
              </w:rPr>
              <w:t>6、具备低代码能力，有完善的低代码开发方案：</w:t>
            </w:r>
          </w:p>
          <w:p w14:paraId="2F937FBF">
            <w:pPr>
              <w:spacing w:line="400" w:lineRule="exact"/>
              <w:ind w:firstLine="480"/>
              <w:jc w:val="left"/>
              <w:rPr>
                <w:rFonts w:cs="仿宋" w:asciiTheme="minorEastAsia" w:hAnsiTheme="minorEastAsia" w:eastAsiaTheme="minorEastAsia"/>
                <w:bCs/>
                <w:szCs w:val="24"/>
              </w:rPr>
            </w:pPr>
            <w:r>
              <w:rPr>
                <w:rFonts w:hint="eastAsia" w:cs="仿宋" w:asciiTheme="minorEastAsia" w:hAnsiTheme="minorEastAsia" w:eastAsiaTheme="minorEastAsia"/>
                <w:bCs/>
                <w:szCs w:val="24"/>
              </w:rPr>
              <w:t>7、系统支持信创环境适配，并能够提供在信创环境下冗余建议，合理完整，需提供主流信创适配证明包括中间件、数据库、操作系统等。</w:t>
            </w:r>
          </w:p>
          <w:p w14:paraId="668611B4">
            <w:pPr>
              <w:spacing w:line="400" w:lineRule="exact"/>
              <w:ind w:firstLine="480"/>
              <w:jc w:val="left"/>
              <w:rPr>
                <w:rFonts w:cs="仿宋" w:asciiTheme="minorEastAsia" w:hAnsiTheme="minorEastAsia" w:eastAsiaTheme="minorEastAsia"/>
                <w:bCs/>
                <w:szCs w:val="24"/>
              </w:rPr>
            </w:pPr>
            <w:r>
              <w:rPr>
                <w:rFonts w:hint="eastAsia" w:cs="仿宋" w:asciiTheme="minorEastAsia" w:hAnsiTheme="minorEastAsia" w:eastAsiaTheme="minorEastAsia"/>
                <w:bCs/>
                <w:szCs w:val="24"/>
              </w:rPr>
              <w:t>8、系统具有良好的稳定性、可靠性和备份机制，高并发响应迅速，性能指标达到行业标准。</w:t>
            </w:r>
          </w:p>
          <w:p w14:paraId="0FA01A49">
            <w:pPr>
              <w:spacing w:line="400" w:lineRule="exact"/>
              <w:jc w:val="left"/>
              <w:rPr>
                <w:rFonts w:cs="仿宋" w:asciiTheme="minorEastAsia" w:hAnsiTheme="minorEastAsia" w:eastAsiaTheme="minorEastAsia"/>
                <w:bCs/>
                <w:szCs w:val="24"/>
              </w:rPr>
            </w:pPr>
            <w:r>
              <w:rPr>
                <w:rFonts w:hint="eastAsia" w:cs="仿宋" w:asciiTheme="minorEastAsia" w:hAnsiTheme="minorEastAsia" w:eastAsiaTheme="minorEastAsia"/>
                <w:bCs/>
                <w:szCs w:val="24"/>
              </w:rPr>
              <w:t>具体评分如下：</w:t>
            </w:r>
          </w:p>
          <w:p w14:paraId="4CD7C040">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（1）方案内容全面、完整、深刻、有针对性的得20分；</w:t>
            </w:r>
          </w:p>
          <w:p w14:paraId="7D9F2FD9">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（2）方案内容较全面、基本完整、较深刻、较有针对性，得16分；</w:t>
            </w:r>
          </w:p>
          <w:p w14:paraId="58B587EC">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（3）方案内容片面、不完整、不深刻、针对性差得12分；</w:t>
            </w:r>
          </w:p>
          <w:p w14:paraId="34B271AA">
            <w:pPr>
              <w:spacing w:line="400" w:lineRule="exact"/>
              <w:rPr>
                <w:rFonts w:cs="宋体" w:asciiTheme="minorEastAsia" w:hAnsiTheme="minorEastAsia" w:eastAsiaTheme="minorEastAsia"/>
                <w:color w:val="000000"/>
                <w:kern w:val="0"/>
                <w:szCs w:val="21"/>
              </w:rPr>
            </w:pPr>
            <w:r>
              <w:rPr>
                <w:rFonts w:hint="eastAsia" w:cs="仿宋" w:asciiTheme="minorEastAsia" w:hAnsiTheme="minorEastAsia" w:eastAsiaTheme="minorEastAsia"/>
                <w:bCs/>
                <w:szCs w:val="24"/>
              </w:rPr>
              <w:t>（4）不提供得0分。</w:t>
            </w:r>
          </w:p>
        </w:tc>
        <w:tc>
          <w:tcPr>
            <w:tcW w:w="489" w:type="pct"/>
            <w:tcBorders>
              <w:top w:val="single" w:color="auto" w:sz="4" w:space="0"/>
              <w:left w:val="single" w:color="auto" w:sz="4" w:space="0"/>
              <w:bottom w:val="single" w:color="auto" w:sz="4" w:space="0"/>
              <w:right w:val="single" w:color="auto" w:sz="4" w:space="0"/>
            </w:tcBorders>
            <w:vAlign w:val="center"/>
          </w:tcPr>
          <w:p w14:paraId="7C3BB40D">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0-20</w:t>
            </w:r>
          </w:p>
        </w:tc>
      </w:tr>
      <w:tr w14:paraId="73CF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04" w:type="pct"/>
            <w:vMerge w:val="continue"/>
            <w:tcBorders>
              <w:left w:val="single" w:color="auto" w:sz="4" w:space="0"/>
              <w:right w:val="single" w:color="auto" w:sz="4" w:space="0"/>
            </w:tcBorders>
            <w:vAlign w:val="center"/>
          </w:tcPr>
          <w:p w14:paraId="0192ED78">
            <w:pPr>
              <w:spacing w:line="360" w:lineRule="auto"/>
              <w:ind w:firstLine="435"/>
              <w:jc w:val="center"/>
              <w:rPr>
                <w:rFonts w:asciiTheme="minorEastAsia" w:hAnsiTheme="minorEastAsia" w:eastAsiaTheme="minorEastAsia"/>
                <w:b/>
                <w:bCs/>
                <w:sz w:val="24"/>
              </w:rPr>
            </w:pPr>
          </w:p>
        </w:tc>
        <w:tc>
          <w:tcPr>
            <w:tcW w:w="939" w:type="pct"/>
            <w:vMerge w:val="restart"/>
            <w:tcBorders>
              <w:top w:val="single" w:color="auto" w:sz="4" w:space="0"/>
              <w:left w:val="single" w:color="auto" w:sz="4" w:space="0"/>
              <w:right w:val="single" w:color="auto" w:sz="4" w:space="0"/>
            </w:tcBorders>
            <w:vAlign w:val="center"/>
          </w:tcPr>
          <w:p w14:paraId="45F7A436">
            <w:pPr>
              <w:spacing w:line="400" w:lineRule="exact"/>
              <w:jc w:val="center"/>
              <w:rPr>
                <w:rFonts w:cs="仿宋" w:asciiTheme="minorEastAsia" w:hAnsiTheme="minorEastAsia" w:eastAsiaTheme="minorEastAsia"/>
                <w:bCs/>
                <w:szCs w:val="24"/>
              </w:rPr>
            </w:pPr>
            <w:r>
              <w:rPr>
                <w:rFonts w:hint="eastAsia" w:cs="仿宋" w:asciiTheme="minorEastAsia" w:hAnsiTheme="minorEastAsia" w:eastAsiaTheme="minorEastAsia"/>
                <w:bCs/>
                <w:szCs w:val="24"/>
              </w:rPr>
              <w:t>项目保障方案</w:t>
            </w:r>
          </w:p>
          <w:p w14:paraId="6318E3E1">
            <w:pPr>
              <w:spacing w:line="400" w:lineRule="exact"/>
              <w:jc w:val="center"/>
              <w:rPr>
                <w:rFonts w:asciiTheme="minorEastAsia" w:hAnsiTheme="minorEastAsia" w:eastAsiaTheme="minorEastAsia"/>
                <w:bCs/>
                <w:sz w:val="24"/>
              </w:rPr>
            </w:pPr>
            <w:r>
              <w:rPr>
                <w:rFonts w:hint="eastAsia" w:cs="仿宋" w:asciiTheme="minorEastAsia" w:hAnsiTheme="minorEastAsia" w:eastAsiaTheme="minorEastAsia"/>
                <w:bCs/>
                <w:szCs w:val="24"/>
              </w:rPr>
              <w:t>（25分）</w:t>
            </w:r>
          </w:p>
        </w:tc>
        <w:tc>
          <w:tcPr>
            <w:tcW w:w="2767" w:type="pct"/>
            <w:tcBorders>
              <w:top w:val="single" w:color="auto" w:sz="4" w:space="0"/>
              <w:left w:val="single" w:color="auto" w:sz="4" w:space="0"/>
              <w:bottom w:val="single" w:color="auto" w:sz="4" w:space="0"/>
              <w:right w:val="single" w:color="auto" w:sz="4" w:space="0"/>
            </w:tcBorders>
            <w:vAlign w:val="center"/>
          </w:tcPr>
          <w:p w14:paraId="50133902">
            <w:pPr>
              <w:spacing w:line="400" w:lineRule="exact"/>
              <w:jc w:val="left"/>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投标人的项目实施保障体系（包括项目组织管理、需求变更管理、项目文档管理、项目风险管理、系统验收管理、</w:t>
            </w:r>
            <w:r>
              <w:rPr>
                <w:rFonts w:hint="eastAsia" w:cs="仿宋" w:asciiTheme="minorEastAsia" w:hAnsiTheme="minorEastAsia" w:eastAsiaTheme="minorEastAsia"/>
                <w:szCs w:val="24"/>
              </w:rPr>
              <w:t>项目实施计划表</w:t>
            </w:r>
            <w:r>
              <w:rPr>
                <w:rFonts w:hint="eastAsia" w:cs="仿宋" w:asciiTheme="minorEastAsia" w:hAnsiTheme="minorEastAsia" w:eastAsiaTheme="minorEastAsia"/>
                <w:kern w:val="0"/>
                <w:szCs w:val="24"/>
              </w:rPr>
              <w:t>等）。（满分15分）</w:t>
            </w:r>
          </w:p>
          <w:p w14:paraId="0EE1544C">
            <w:pPr>
              <w:spacing w:line="400" w:lineRule="exact"/>
              <w:jc w:val="left"/>
              <w:rPr>
                <w:rFonts w:cs="仿宋" w:asciiTheme="minorEastAsia" w:hAnsiTheme="minorEastAsia" w:eastAsiaTheme="minorEastAsia"/>
                <w:bCs/>
                <w:szCs w:val="24"/>
              </w:rPr>
            </w:pPr>
            <w:r>
              <w:rPr>
                <w:rFonts w:hint="eastAsia" w:cs="仿宋" w:asciiTheme="minorEastAsia" w:hAnsiTheme="minorEastAsia" w:eastAsiaTheme="minorEastAsia"/>
                <w:bCs/>
                <w:szCs w:val="24"/>
              </w:rPr>
              <w:t>具体评分如下：</w:t>
            </w:r>
          </w:p>
          <w:p w14:paraId="56849259">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（1）投标人项目实施保障体系完善得15分</w:t>
            </w:r>
          </w:p>
          <w:p w14:paraId="1A4EDB4B">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（2）投标人项目实施保障体系较为完善得12分</w:t>
            </w:r>
          </w:p>
          <w:p w14:paraId="69622A8C">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（3）投标人项目实施保障体系不完善得8分</w:t>
            </w:r>
          </w:p>
          <w:p w14:paraId="06E536E0">
            <w:pPr>
              <w:spacing w:line="400" w:lineRule="exact"/>
              <w:rPr>
                <w:rFonts w:cs="宋体" w:asciiTheme="minorEastAsia" w:hAnsiTheme="minorEastAsia" w:eastAsiaTheme="minorEastAsia"/>
                <w:color w:val="000000"/>
                <w:kern w:val="0"/>
                <w:szCs w:val="21"/>
              </w:rPr>
            </w:pPr>
            <w:r>
              <w:rPr>
                <w:rFonts w:hint="eastAsia" w:cs="仿宋" w:asciiTheme="minorEastAsia" w:hAnsiTheme="minorEastAsia" w:eastAsiaTheme="minorEastAsia"/>
                <w:bCs/>
                <w:szCs w:val="24"/>
              </w:rPr>
              <w:t>（4）不提供得0分。</w:t>
            </w:r>
          </w:p>
        </w:tc>
        <w:tc>
          <w:tcPr>
            <w:tcW w:w="489" w:type="pct"/>
            <w:tcBorders>
              <w:top w:val="single" w:color="auto" w:sz="4" w:space="0"/>
              <w:left w:val="single" w:color="auto" w:sz="4" w:space="0"/>
              <w:bottom w:val="single" w:color="auto" w:sz="4" w:space="0"/>
              <w:right w:val="single" w:color="auto" w:sz="4" w:space="0"/>
            </w:tcBorders>
            <w:vAlign w:val="center"/>
          </w:tcPr>
          <w:p w14:paraId="066E8DF1">
            <w:pPr>
              <w:spacing w:line="400" w:lineRule="exact"/>
              <w:ind w:firstLine="210" w:firstLineChars="100"/>
              <w:jc w:val="left"/>
              <w:rPr>
                <w:rFonts w:asciiTheme="minorEastAsia" w:hAnsiTheme="minorEastAsia" w:eastAsiaTheme="minorEastAsia"/>
                <w:b/>
                <w:bCs/>
                <w:sz w:val="24"/>
              </w:rPr>
            </w:pPr>
            <w:r>
              <w:rPr>
                <w:rFonts w:hint="eastAsia" w:cs="仿宋" w:asciiTheme="minorEastAsia" w:hAnsiTheme="minorEastAsia" w:eastAsiaTheme="minorEastAsia"/>
                <w:bCs/>
                <w:szCs w:val="24"/>
              </w:rPr>
              <w:t>0-15</w:t>
            </w:r>
          </w:p>
        </w:tc>
      </w:tr>
      <w:tr w14:paraId="5073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04" w:type="pct"/>
            <w:vMerge w:val="continue"/>
            <w:tcBorders>
              <w:left w:val="single" w:color="auto" w:sz="4" w:space="0"/>
              <w:right w:val="single" w:color="auto" w:sz="4" w:space="0"/>
            </w:tcBorders>
            <w:vAlign w:val="center"/>
          </w:tcPr>
          <w:p w14:paraId="7D723D10">
            <w:pPr>
              <w:spacing w:line="360" w:lineRule="auto"/>
              <w:ind w:firstLine="435"/>
              <w:jc w:val="center"/>
              <w:rPr>
                <w:rFonts w:asciiTheme="minorEastAsia" w:hAnsiTheme="minorEastAsia" w:eastAsiaTheme="minorEastAsia"/>
                <w:b/>
                <w:bCs/>
                <w:sz w:val="24"/>
              </w:rPr>
            </w:pPr>
          </w:p>
        </w:tc>
        <w:tc>
          <w:tcPr>
            <w:tcW w:w="939" w:type="pct"/>
            <w:vMerge w:val="continue"/>
            <w:tcBorders>
              <w:left w:val="single" w:color="auto" w:sz="4" w:space="0"/>
              <w:bottom w:val="single" w:color="auto" w:sz="4" w:space="0"/>
              <w:right w:val="single" w:color="auto" w:sz="4" w:space="0"/>
            </w:tcBorders>
            <w:vAlign w:val="center"/>
          </w:tcPr>
          <w:p w14:paraId="2CC2D162">
            <w:pPr>
              <w:spacing w:line="400" w:lineRule="exact"/>
              <w:jc w:val="center"/>
              <w:rPr>
                <w:rFonts w:asciiTheme="minorEastAsia" w:hAnsiTheme="minorEastAsia" w:eastAsiaTheme="minorEastAsia"/>
                <w:bCs/>
                <w:sz w:val="24"/>
              </w:rPr>
            </w:pPr>
          </w:p>
        </w:tc>
        <w:tc>
          <w:tcPr>
            <w:tcW w:w="2767" w:type="pct"/>
            <w:tcBorders>
              <w:top w:val="single" w:color="auto" w:sz="4" w:space="0"/>
              <w:left w:val="single" w:color="auto" w:sz="4" w:space="0"/>
              <w:bottom w:val="single" w:color="auto" w:sz="4" w:space="0"/>
              <w:right w:val="single" w:color="auto" w:sz="4" w:space="0"/>
            </w:tcBorders>
            <w:vAlign w:val="center"/>
          </w:tcPr>
          <w:p w14:paraId="47195FB8">
            <w:pPr>
              <w:spacing w:line="400" w:lineRule="exact"/>
              <w:jc w:val="left"/>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投标人需根据实施项目的特点为招标人制定详细可行的培训方案。培训方案应包括培训的时间、地点、目标、方式、内容、对象和措施。对方案的科学性可行性进行综合评比。</w:t>
            </w:r>
          </w:p>
          <w:p w14:paraId="5DA82B1D">
            <w:pPr>
              <w:spacing w:line="400" w:lineRule="exact"/>
              <w:jc w:val="left"/>
              <w:rPr>
                <w:rFonts w:cs="仿宋" w:asciiTheme="minorEastAsia" w:hAnsiTheme="minorEastAsia" w:eastAsiaTheme="minorEastAsia"/>
                <w:bCs/>
                <w:szCs w:val="24"/>
              </w:rPr>
            </w:pPr>
            <w:r>
              <w:rPr>
                <w:rFonts w:hint="eastAsia" w:cs="仿宋" w:asciiTheme="minorEastAsia" w:hAnsiTheme="minorEastAsia" w:eastAsiaTheme="minorEastAsia"/>
                <w:bCs/>
                <w:szCs w:val="24"/>
              </w:rPr>
              <w:t>具体评分如下：</w:t>
            </w:r>
          </w:p>
          <w:p w14:paraId="58D27D7B">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（1）较好的培训方案（能结合项目要求，提出多维度、较完善的培训方案，培训内容和课程安排合理），得5分；</w:t>
            </w:r>
          </w:p>
          <w:p w14:paraId="2AE39F5C">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（2）培训方案一般（提交了培训方案，但培训内容和课程安排与项目要求联系不够紧密），得3分；</w:t>
            </w:r>
          </w:p>
          <w:p w14:paraId="2A44B1FE">
            <w:pPr>
              <w:spacing w:line="400" w:lineRule="exact"/>
              <w:rPr>
                <w:rFonts w:cs="宋体" w:asciiTheme="minorEastAsia" w:hAnsiTheme="minorEastAsia" w:eastAsiaTheme="minorEastAsia"/>
                <w:color w:val="000000"/>
                <w:kern w:val="0"/>
                <w:szCs w:val="21"/>
              </w:rPr>
            </w:pPr>
            <w:r>
              <w:rPr>
                <w:rFonts w:hint="eastAsia" w:cs="仿宋" w:asciiTheme="minorEastAsia" w:hAnsiTheme="minorEastAsia" w:eastAsiaTheme="minorEastAsia"/>
                <w:bCs/>
                <w:szCs w:val="24"/>
              </w:rPr>
              <w:t>（3）不提供得0分。</w:t>
            </w:r>
          </w:p>
        </w:tc>
        <w:tc>
          <w:tcPr>
            <w:tcW w:w="489" w:type="pct"/>
            <w:tcBorders>
              <w:top w:val="single" w:color="auto" w:sz="4" w:space="0"/>
              <w:left w:val="single" w:color="auto" w:sz="4" w:space="0"/>
              <w:bottom w:val="single" w:color="auto" w:sz="4" w:space="0"/>
              <w:right w:val="single" w:color="auto" w:sz="4" w:space="0"/>
            </w:tcBorders>
            <w:vAlign w:val="center"/>
          </w:tcPr>
          <w:p w14:paraId="6EC3A5D8">
            <w:pPr>
              <w:spacing w:line="400" w:lineRule="exact"/>
              <w:ind w:firstLine="210" w:firstLineChars="100"/>
              <w:jc w:val="left"/>
              <w:rPr>
                <w:rFonts w:asciiTheme="minorEastAsia" w:hAnsiTheme="minorEastAsia" w:eastAsiaTheme="minorEastAsia"/>
                <w:b/>
                <w:bCs/>
                <w:sz w:val="24"/>
              </w:rPr>
            </w:pPr>
            <w:r>
              <w:rPr>
                <w:rFonts w:hint="eastAsia" w:cs="仿宋" w:asciiTheme="minorEastAsia" w:hAnsiTheme="minorEastAsia" w:eastAsiaTheme="minorEastAsia"/>
                <w:bCs/>
                <w:szCs w:val="24"/>
              </w:rPr>
              <w:t>0-5</w:t>
            </w:r>
          </w:p>
        </w:tc>
      </w:tr>
      <w:tr w14:paraId="4212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04" w:type="pct"/>
            <w:vMerge w:val="continue"/>
            <w:tcBorders>
              <w:left w:val="single" w:color="auto" w:sz="4" w:space="0"/>
              <w:right w:val="single" w:color="auto" w:sz="4" w:space="0"/>
            </w:tcBorders>
            <w:vAlign w:val="center"/>
          </w:tcPr>
          <w:p w14:paraId="2A891C67">
            <w:pPr>
              <w:spacing w:line="360" w:lineRule="auto"/>
              <w:ind w:firstLine="435"/>
              <w:jc w:val="center"/>
              <w:rPr>
                <w:rFonts w:asciiTheme="minorEastAsia" w:hAnsiTheme="minorEastAsia" w:eastAsiaTheme="minorEastAsia"/>
                <w:b/>
                <w:bCs/>
                <w:sz w:val="24"/>
              </w:rPr>
            </w:pPr>
          </w:p>
        </w:tc>
        <w:tc>
          <w:tcPr>
            <w:tcW w:w="939" w:type="pct"/>
            <w:vMerge w:val="continue"/>
            <w:tcBorders>
              <w:left w:val="single" w:color="auto" w:sz="4" w:space="0"/>
              <w:bottom w:val="single" w:color="auto" w:sz="4" w:space="0"/>
              <w:right w:val="single" w:color="auto" w:sz="4" w:space="0"/>
            </w:tcBorders>
            <w:vAlign w:val="center"/>
          </w:tcPr>
          <w:p w14:paraId="5692F58F">
            <w:pPr>
              <w:spacing w:line="400" w:lineRule="exact"/>
              <w:jc w:val="center"/>
              <w:rPr>
                <w:rFonts w:asciiTheme="minorEastAsia" w:hAnsiTheme="minorEastAsia" w:eastAsiaTheme="minorEastAsia"/>
                <w:bCs/>
                <w:sz w:val="24"/>
              </w:rPr>
            </w:pPr>
          </w:p>
        </w:tc>
        <w:tc>
          <w:tcPr>
            <w:tcW w:w="2767" w:type="pct"/>
            <w:tcBorders>
              <w:top w:val="single" w:color="auto" w:sz="4" w:space="0"/>
              <w:left w:val="single" w:color="auto" w:sz="4" w:space="0"/>
              <w:bottom w:val="single" w:color="auto" w:sz="4" w:space="0"/>
              <w:right w:val="single" w:color="auto" w:sz="4" w:space="0"/>
            </w:tcBorders>
            <w:vAlign w:val="center"/>
          </w:tcPr>
          <w:p w14:paraId="47546A25">
            <w:pPr>
              <w:spacing w:line="400" w:lineRule="exact"/>
              <w:jc w:val="left"/>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评委根据供应商提供的售后服务方案进行评分，包括技术问题和故障处理响应机制、响应时间、节假日运维保障服务、培训方案等。</w:t>
            </w:r>
          </w:p>
          <w:p w14:paraId="556CC69A">
            <w:pPr>
              <w:spacing w:line="400" w:lineRule="exact"/>
              <w:jc w:val="left"/>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（1）售后服务方案科学合理，技术问题和故障处理响应机制健全，响应时间及时，提供节假日运维保障服务，培训方案完善合理的得5分；</w:t>
            </w:r>
          </w:p>
          <w:p w14:paraId="1E3A9C4B">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（2）、售后服务方案基本合理，技术问题和故障处理响应机制基本健全，响应时间基本及时，提供节假日运维保障服务，培训方案基本合理得的得3分；</w:t>
            </w:r>
          </w:p>
          <w:p w14:paraId="3860D8AE">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（3）、售后服务方案不太合理，技术问题和故障处理响应机制不够健全，响应时间不够及时，提供的节假日运维保障服务不够全面，培训方案不够合理的得1分；</w:t>
            </w:r>
          </w:p>
          <w:p w14:paraId="2B8C9135">
            <w:pPr>
              <w:spacing w:line="400" w:lineRule="exact"/>
              <w:rPr>
                <w:rFonts w:cs="宋体" w:asciiTheme="minorEastAsia" w:hAnsiTheme="minorEastAsia" w:eastAsiaTheme="minorEastAsia"/>
                <w:color w:val="000000"/>
                <w:kern w:val="0"/>
                <w:szCs w:val="21"/>
              </w:rPr>
            </w:pPr>
            <w:r>
              <w:rPr>
                <w:rFonts w:hint="eastAsia" w:cs="仿宋" w:asciiTheme="minorEastAsia" w:hAnsiTheme="minorEastAsia" w:eastAsiaTheme="minorEastAsia"/>
                <w:bCs/>
                <w:szCs w:val="24"/>
              </w:rPr>
              <w:t xml:space="preserve">（4）、不提供得0分。 </w:t>
            </w:r>
          </w:p>
        </w:tc>
        <w:tc>
          <w:tcPr>
            <w:tcW w:w="489" w:type="pct"/>
            <w:tcBorders>
              <w:top w:val="single" w:color="auto" w:sz="4" w:space="0"/>
              <w:left w:val="single" w:color="auto" w:sz="4" w:space="0"/>
              <w:bottom w:val="single" w:color="auto" w:sz="4" w:space="0"/>
              <w:right w:val="single" w:color="auto" w:sz="4" w:space="0"/>
            </w:tcBorders>
            <w:vAlign w:val="center"/>
          </w:tcPr>
          <w:p w14:paraId="75AA63AB">
            <w:pPr>
              <w:spacing w:line="400" w:lineRule="exact"/>
              <w:ind w:firstLine="210" w:firstLineChars="100"/>
              <w:jc w:val="left"/>
              <w:rPr>
                <w:rFonts w:asciiTheme="minorEastAsia" w:hAnsiTheme="minorEastAsia" w:eastAsiaTheme="minorEastAsia"/>
                <w:b/>
                <w:bCs/>
                <w:sz w:val="24"/>
              </w:rPr>
            </w:pPr>
            <w:r>
              <w:rPr>
                <w:rFonts w:hint="eastAsia" w:cs="仿宋" w:asciiTheme="minorEastAsia" w:hAnsiTheme="minorEastAsia" w:eastAsiaTheme="minorEastAsia"/>
                <w:bCs/>
                <w:szCs w:val="24"/>
              </w:rPr>
              <w:t>0-5</w:t>
            </w:r>
          </w:p>
        </w:tc>
      </w:tr>
      <w:tr w14:paraId="775C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pct"/>
            <w:tcBorders>
              <w:left w:val="single" w:color="auto" w:sz="4" w:space="0"/>
              <w:right w:val="single" w:color="auto" w:sz="4" w:space="0"/>
            </w:tcBorders>
            <w:vAlign w:val="center"/>
          </w:tcPr>
          <w:p w14:paraId="634123E9">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价格分</w:t>
            </w:r>
          </w:p>
          <w:p w14:paraId="31BA2C7B">
            <w:pPr>
              <w:spacing w:line="360" w:lineRule="auto"/>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20</w:t>
            </w:r>
            <w:r>
              <w:rPr>
                <w:rFonts w:hint="eastAsia" w:asciiTheme="minorEastAsia" w:hAnsiTheme="minorEastAsia" w:eastAsiaTheme="minorEastAsia"/>
                <w:color w:val="000000" w:themeColor="text1"/>
                <w:sz w:val="24"/>
                <w14:textFill>
                  <w14:solidFill>
                    <w14:schemeClr w14:val="tx1"/>
                  </w14:solidFill>
                </w14:textFill>
              </w:rPr>
              <w:t>分）</w:t>
            </w:r>
          </w:p>
        </w:tc>
        <w:tc>
          <w:tcPr>
            <w:tcW w:w="4195" w:type="pct"/>
            <w:gridSpan w:val="3"/>
            <w:tcBorders>
              <w:top w:val="single" w:color="auto" w:sz="4" w:space="0"/>
              <w:left w:val="single" w:color="auto" w:sz="4" w:space="0"/>
              <w:bottom w:val="single" w:color="auto" w:sz="4" w:space="0"/>
              <w:right w:val="single" w:color="auto" w:sz="4" w:space="0"/>
            </w:tcBorders>
            <w:vAlign w:val="center"/>
          </w:tcPr>
          <w:p w14:paraId="0F889876">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价格分统一采用低价优先法，即满足磋商文件要求且最后报价最低的供应商的价格为磋商基准价，其价格分为满分</w:t>
            </w:r>
            <w:r>
              <w:rPr>
                <w:rFonts w:hint="eastAsia" w:asciiTheme="minorEastAsia" w:hAnsiTheme="minorEastAsia" w:eastAsiaTheme="minorEastAsia"/>
                <w:color w:val="000000" w:themeColor="text1"/>
                <w:sz w:val="24"/>
                <w:u w:val="single"/>
                <w14:textFill>
                  <w14:solidFill>
                    <w14:schemeClr w14:val="tx1"/>
                  </w14:solidFill>
                </w14:textFill>
              </w:rPr>
              <w:t xml:space="preserve"> 20</w:t>
            </w:r>
            <w:r>
              <w:rPr>
                <w:rFonts w:hint="eastAsia" w:asciiTheme="minorEastAsia" w:hAnsiTheme="minorEastAsia" w:eastAsiaTheme="minorEastAsia"/>
                <w:color w:val="000000" w:themeColor="text1"/>
                <w:sz w:val="24"/>
                <w14:textFill>
                  <w14:solidFill>
                    <w14:schemeClr w14:val="tx1"/>
                  </w14:solidFill>
                </w14:textFill>
              </w:rPr>
              <w:t>分。其他供应商的价格分统一按照下列公式计算：</w:t>
            </w:r>
          </w:p>
          <w:p w14:paraId="43DA2162">
            <w:pPr>
              <w:spacing w:line="360" w:lineRule="auto"/>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磋商报价得分＝（磋商基准价/</w:t>
            </w:r>
            <w:r>
              <w:rPr>
                <w:rFonts w:hint="eastAsia" w:ascii="宋体" w:hAnsi="宋体" w:eastAsia="宋体"/>
                <w:color w:val="000000" w:themeColor="text1"/>
                <w:sz w:val="24"/>
                <w14:textFill>
                  <w14:solidFill>
                    <w14:schemeClr w14:val="tx1"/>
                  </w14:solidFill>
                </w14:textFill>
              </w:rPr>
              <w:t>最后磋商</w:t>
            </w:r>
            <w:r>
              <w:rPr>
                <w:rFonts w:hint="eastAsia" w:asciiTheme="minorEastAsia" w:hAnsiTheme="minorEastAsia" w:eastAsiaTheme="minorEastAsia"/>
                <w:color w:val="000000" w:themeColor="text1"/>
                <w:sz w:val="24"/>
                <w14:textFill>
                  <w14:solidFill>
                    <w14:schemeClr w14:val="tx1"/>
                  </w14:solidFill>
                </w14:textFill>
              </w:rPr>
              <w:t>报价）×</w:t>
            </w:r>
            <w:r>
              <w:rPr>
                <w:rFonts w:hint="eastAsia" w:asciiTheme="minorEastAsia" w:hAnsiTheme="minorEastAsia" w:eastAsiaTheme="minorEastAsia"/>
                <w:color w:val="000000" w:themeColor="text1"/>
                <w:sz w:val="24"/>
                <w:u w:val="single"/>
                <w14:textFill>
                  <w14:solidFill>
                    <w14:schemeClr w14:val="tx1"/>
                  </w14:solidFill>
                </w14:textFill>
              </w:rPr>
              <w:t xml:space="preserve"> 20</w:t>
            </w:r>
            <w:r>
              <w:rPr>
                <w:rFonts w:hint="eastAsia" w:asciiTheme="minorEastAsia" w:hAnsiTheme="minorEastAsia" w:eastAsiaTheme="minorEastAsia"/>
                <w:color w:val="000000" w:themeColor="text1"/>
                <w:sz w:val="24"/>
                <w14:textFill>
                  <w14:solidFill>
                    <w14:schemeClr w14:val="tx1"/>
                  </w14:solidFill>
                </w14:textFill>
              </w:rPr>
              <w:t>％×100</w:t>
            </w:r>
          </w:p>
        </w:tc>
      </w:tr>
    </w:tbl>
    <w:p w14:paraId="5E0CFB3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14:paraId="07F65A9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（1）磋商小组各成员应当独立对每个有效响应的文件进行评价、打分，然后汇总每个供应商每项评分因素的得分</w:t>
      </w:r>
      <w:r>
        <w:rPr>
          <w:rFonts w:asciiTheme="minorEastAsia" w:hAnsiTheme="minorEastAsia" w:eastAsiaTheme="minorEastAsia"/>
          <w:sz w:val="24"/>
        </w:rPr>
        <w:t>，再</w:t>
      </w:r>
      <w:r>
        <w:rPr>
          <w:rFonts w:hint="eastAsia" w:asciiTheme="minorEastAsia" w:hAnsiTheme="minorEastAsia" w:eastAsiaTheme="minorEastAsia"/>
          <w:sz w:val="24"/>
        </w:rPr>
        <w:t>取各位评委评分之平均值，四舍五入保留至小数点后两位数，得到该供应商的技术资信分。</w:t>
      </w:r>
    </w:p>
    <w:p w14:paraId="5D7FC20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将每个</w:t>
      </w:r>
      <w:r>
        <w:rPr>
          <w:rFonts w:hint="eastAsia" w:asciiTheme="minorEastAsia" w:hAnsiTheme="minorEastAsia" w:eastAsiaTheme="minorEastAsia"/>
          <w:sz w:val="24"/>
        </w:rPr>
        <w:t>供应商</w:t>
      </w:r>
      <w:r>
        <w:rPr>
          <w:rFonts w:asciiTheme="minorEastAsia" w:hAnsiTheme="minorEastAsia" w:eastAsiaTheme="minorEastAsia"/>
          <w:sz w:val="24"/>
        </w:rPr>
        <w:t>的技术资信分加上根据上述标准计算出的价格分，即为该</w:t>
      </w:r>
      <w:r>
        <w:rPr>
          <w:rFonts w:hint="eastAsia" w:asciiTheme="minorEastAsia" w:hAnsiTheme="minorEastAsia" w:eastAsiaTheme="minorEastAsia"/>
          <w:sz w:val="24"/>
        </w:rPr>
        <w:t>供应商</w:t>
      </w:r>
      <w:r>
        <w:rPr>
          <w:rFonts w:asciiTheme="minorEastAsia" w:hAnsiTheme="minorEastAsia" w:eastAsiaTheme="minorEastAsia"/>
          <w:sz w:val="24"/>
        </w:rPr>
        <w:t>的综合总得分。</w:t>
      </w:r>
    </w:p>
    <w:p w14:paraId="4FF2C26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2.2.4交易活动资格审查和评标环节中，凡是要求提供相关证书或证明原件扫描件的，投标企业均可以提供带官方二维码的相关证书（证明）复印件扫描件替代原件扫描件，但供应商自行承担复印件扫描件二维码不清晰，无法扫描，可能导致资格审查不通过的后果。</w:t>
      </w:r>
    </w:p>
    <w:p w14:paraId="6DE375A0">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三、无效投标条款</w:t>
      </w:r>
    </w:p>
    <w:p w14:paraId="4A2469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3.1投标文件有下列情形之一的,其投标文件拒收:</w:t>
      </w:r>
    </w:p>
    <w:p w14:paraId="71FB758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未在开标截止时间前通过网上招标投标系统递交有效电子投标文件的，开标系统不予接收，投标将被拒绝。</w:t>
      </w:r>
    </w:p>
    <w:p w14:paraId="56D87B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49FE5EA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3.2投标人有下列情形之一的,资格审查后其投标作无效投标处理：</w:t>
      </w:r>
    </w:p>
    <w:p w14:paraId="3E833E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(1)投标人为本项目提供招标代理服务的；</w:t>
      </w:r>
    </w:p>
    <w:p w14:paraId="4BF381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(2)投标人与在本项目代理机构存在相互任职或工作的；</w:t>
      </w:r>
    </w:p>
    <w:p w14:paraId="57A9F2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(3)招标公告写明专门面向中小企业采购，投标人提供的货物非中小企业制造的；</w:t>
      </w:r>
    </w:p>
    <w:p w14:paraId="2DBDE77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(4)要求供应商以联合体形式参加采购活动，投标人非联合体或者联合协议中中小企业合同金额未达到应当达到的比例；</w:t>
      </w:r>
    </w:p>
    <w:p w14:paraId="6964D47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(5)要求获得采购合同的供应商向中小企业分包，投标人未提供分包意向协议或者分包意向协议中中小企业合同金额未达到应当达到的比例；</w:t>
      </w:r>
    </w:p>
    <w:p w14:paraId="5C386B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(6)评标专家无法查看并检验电子投标文件中相关资料的；</w:t>
      </w:r>
    </w:p>
    <w:p w14:paraId="7B770D5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(7)联合体投标未提交联合体协议的；</w:t>
      </w:r>
    </w:p>
    <w:p w14:paraId="214727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(8)责令停产停业的；</w:t>
      </w:r>
    </w:p>
    <w:p w14:paraId="41B9DD6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(9)暂停或者取消参与政府采购项目资格的；</w:t>
      </w:r>
    </w:p>
    <w:p w14:paraId="12707F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(10)投标人单位负责人为同一人或者存在（直接）控股、管理关系的不同单位的；</w:t>
      </w:r>
    </w:p>
    <w:p w14:paraId="00CEC69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(11)投标人基本资格条件和特定资格条件中有一项及以上不符合要求的；</w:t>
      </w:r>
    </w:p>
    <w:p w14:paraId="17A570D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0E798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(13)其它情形，经评标委员会委提出按无效投标处理，并经公共资源交易监督部门核准的；</w:t>
      </w:r>
    </w:p>
    <w:p w14:paraId="0FC84C3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(14)投标人投标MAC地址或投标人联系人或联系电话相同的，由评标委员会否决其投标，并报告监管部门作不良行为处理和进一步调查；</w:t>
      </w:r>
    </w:p>
    <w:p w14:paraId="1220B94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(15)投标人单方面出现其他投标人材料的；</w:t>
      </w:r>
    </w:p>
    <w:p w14:paraId="0C71278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(16)招标公告未写明允许采购进口产品，投标人所投产品为进口产品的；</w:t>
      </w:r>
    </w:p>
    <w:p w14:paraId="6C05F8C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(17)招标文件规定的其它无效投标情形。</w:t>
      </w:r>
    </w:p>
    <w:p w14:paraId="3C25AD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投标人有下列情形之一的,符合性审查后其投标按无效投标处理：</w:t>
      </w:r>
    </w:p>
    <w:p w14:paraId="0C7E05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(1)投标文件签字、盖章不全，经评标委员会一致认定对开评标内容有实质性影响并经公共资源交易监督部门核准的；</w:t>
      </w:r>
    </w:p>
    <w:p w14:paraId="59989A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 经公共资源交易监督部门核准的；</w:t>
      </w:r>
    </w:p>
    <w:p w14:paraId="4E6A6CE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(3)同一投标人提交两个以上不同的投标文件或者投标报价，但招标文件规定提交备选方案的除外；</w:t>
      </w:r>
    </w:p>
    <w:p w14:paraId="63E15B3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(4)投标文件没有对招标文件的实质性要求和条件作出响应;</w:t>
      </w:r>
    </w:p>
    <w:p w14:paraId="57756A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(5)投标报价超出规定的投标限价或公布的采购预算的或投标人的投标报价各项单价高于招标文件给定的单价最高限价；</w:t>
      </w:r>
    </w:p>
    <w:p w14:paraId="4E7463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(6)不按评标委员会要求澄清、说明或补正的，或者评标委员会根据招标文件的规定对投标文件的计算错误进行修正后，投标人不接受修正的投标报价的。</w:t>
      </w:r>
    </w:p>
    <w:p w14:paraId="622683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(7)其它情形，经评标委员会委提出按无效投标处理，并经公共资源交易监督部门核准的；</w:t>
      </w:r>
    </w:p>
    <w:p w14:paraId="7A9263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(8)投标文件含有采购人不能接受的附加条件的；</w:t>
      </w:r>
    </w:p>
    <w:p w14:paraId="5D0AF7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(9)招标文件规定的其它无效投标情形。</w:t>
      </w:r>
    </w:p>
    <w:p w14:paraId="08C5CF7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投标人有下列情形之一的, 详细评审后其投标按无效投标处理：</w:t>
      </w:r>
    </w:p>
    <w:p w14:paraId="27B55D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(1)投标产品不符合必须强制执行的国家标准的；</w:t>
      </w:r>
    </w:p>
    <w:p w14:paraId="73CA29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(2)投标人有串通投标、弄虚作假、行贿等违法行为；</w:t>
      </w:r>
    </w:p>
    <w:p w14:paraId="2DA5C5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(3)投标文件含有违反国家法律、法规的内容，或附有采购人不能接受的条件的；</w:t>
      </w:r>
    </w:p>
    <w:p w14:paraId="4B8913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(4)报价明显低于其他投标人，且不能证明报价合理性的投标无效；</w:t>
      </w:r>
    </w:p>
    <w:p w14:paraId="64C3C72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(5)拒不确认评标委员会评审修正的投标无效；</w:t>
      </w:r>
    </w:p>
    <w:p w14:paraId="45BB388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(6)其它情形，经评标委员会委提出按无效投标处理，并经公共资源交易监督部门核准的；</w:t>
      </w:r>
    </w:p>
    <w:p w14:paraId="0EF32DED">
      <w:pPr>
        <w:spacing w:line="360" w:lineRule="auto"/>
        <w:ind w:firstLine="435"/>
        <w:rPr>
          <w:rFonts w:asciiTheme="minorEastAsia" w:hAnsiTheme="minorEastAsia" w:eastAsiaTheme="minorEastAsia"/>
          <w:sz w:val="24"/>
        </w:rPr>
      </w:pPr>
      <w:r>
        <w:rPr>
          <w:rFonts w:hint="eastAsia" w:asciiTheme="minorEastAsia" w:hAnsiTheme="minorEastAsia" w:eastAsiaTheme="minorEastAsia"/>
          <w:color w:val="auto"/>
          <w:sz w:val="24"/>
          <w:highlight w:val="none"/>
        </w:rPr>
        <w:t>(7)招标文件规定的其它无效投标情形。</w:t>
      </w:r>
      <w:r>
        <w:rPr>
          <w:rFonts w:asciiTheme="minorEastAsia" w:hAnsiTheme="minorEastAsia" w:eastAsiaTheme="minorEastAsia"/>
          <w:sz w:val="24"/>
        </w:rPr>
        <w:br w:type="page"/>
      </w:r>
    </w:p>
    <w:p w14:paraId="46B776EC">
      <w:pPr>
        <w:spacing w:line="360" w:lineRule="auto"/>
        <w:jc w:val="center"/>
        <w:outlineLvl w:val="0"/>
        <w:rPr>
          <w:rFonts w:asciiTheme="minorEastAsia" w:hAnsiTheme="minorEastAsia" w:eastAsiaTheme="minorEastAsia"/>
          <w:b/>
          <w:sz w:val="28"/>
        </w:rPr>
      </w:pPr>
      <w:bookmarkStart w:id="118" w:name="_Toc63440929"/>
      <w:bookmarkStart w:id="119" w:name="_Toc355"/>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118"/>
      <w:bookmarkEnd w:id="119"/>
    </w:p>
    <w:p w14:paraId="33185519">
      <w:pPr>
        <w:pStyle w:val="11"/>
        <w:spacing w:after="0" w:line="360" w:lineRule="auto"/>
        <w:jc w:val="center"/>
        <w:rPr>
          <w:rFonts w:ascii="宋体" w:hAnsi="宋体" w:eastAsia="宋体" w:cs="宋体"/>
          <w:b/>
          <w:bCs/>
          <w:spacing w:val="-20"/>
          <w:kern w:val="44"/>
          <w:sz w:val="24"/>
        </w:rPr>
      </w:pPr>
    </w:p>
    <w:p w14:paraId="538F2AD2">
      <w:pPr>
        <w:pStyle w:val="11"/>
        <w:spacing w:after="0" w:line="360" w:lineRule="auto"/>
        <w:jc w:val="center"/>
        <w:rPr>
          <w:rFonts w:ascii="宋体" w:hAnsi="宋体" w:eastAsia="宋体" w:cs="宋体"/>
          <w:b/>
          <w:bCs/>
          <w:spacing w:val="-20"/>
          <w:kern w:val="44"/>
          <w:sz w:val="24"/>
        </w:rPr>
      </w:pPr>
    </w:p>
    <w:p w14:paraId="128452F2">
      <w:pPr>
        <w:pStyle w:val="11"/>
        <w:spacing w:after="0" w:line="360" w:lineRule="auto"/>
        <w:jc w:val="center"/>
        <w:rPr>
          <w:rFonts w:ascii="宋体" w:hAnsi="宋体" w:eastAsia="宋体" w:cs="宋体"/>
          <w:b/>
          <w:bCs/>
          <w:spacing w:val="-20"/>
          <w:kern w:val="44"/>
          <w:sz w:val="24"/>
        </w:rPr>
      </w:pPr>
    </w:p>
    <w:p w14:paraId="4AF47F3C">
      <w:pPr>
        <w:spacing w:line="480" w:lineRule="auto"/>
        <w:jc w:val="center"/>
        <w:outlineLvl w:val="1"/>
        <w:rPr>
          <w:rFonts w:ascii="宋体" w:hAnsi="宋体" w:eastAsia="宋体"/>
          <w:b/>
          <w:sz w:val="32"/>
          <w:szCs w:val="32"/>
        </w:rPr>
      </w:pPr>
      <w:r>
        <w:rPr>
          <w:rFonts w:ascii="宋体" w:hAnsi="宋体" w:eastAsia="宋体"/>
          <w:b/>
          <w:sz w:val="32"/>
          <w:szCs w:val="32"/>
        </w:rPr>
        <w:t>政府采购合同</w:t>
      </w:r>
      <w:r>
        <w:rPr>
          <w:rFonts w:hint="eastAsia" w:ascii="宋体" w:hAnsi="宋体" w:eastAsia="宋体"/>
          <w:b/>
          <w:sz w:val="32"/>
          <w:szCs w:val="32"/>
        </w:rPr>
        <w:t>参考范本</w:t>
      </w:r>
    </w:p>
    <w:p w14:paraId="38DF4700">
      <w:pPr>
        <w:spacing w:line="480" w:lineRule="auto"/>
        <w:jc w:val="center"/>
        <w:outlineLvl w:val="1"/>
        <w:rPr>
          <w:rFonts w:ascii="宋体" w:hAnsi="宋体" w:eastAsia="宋体"/>
          <w:b/>
          <w:sz w:val="32"/>
          <w:szCs w:val="32"/>
        </w:rPr>
      </w:pPr>
      <w:r>
        <w:rPr>
          <w:rFonts w:hint="eastAsia" w:ascii="宋体" w:hAnsi="宋体" w:eastAsia="宋体"/>
          <w:b/>
          <w:sz w:val="32"/>
          <w:szCs w:val="32"/>
        </w:rPr>
        <w:t>（服务类）</w:t>
      </w:r>
    </w:p>
    <w:p w14:paraId="15209A59">
      <w:pPr>
        <w:spacing w:line="480" w:lineRule="auto"/>
        <w:jc w:val="center"/>
        <w:rPr>
          <w:rFonts w:ascii="宋体" w:hAnsi="宋体" w:eastAsia="宋体"/>
          <w:b/>
          <w:sz w:val="24"/>
        </w:rPr>
      </w:pPr>
    </w:p>
    <w:p w14:paraId="58B0CCE5">
      <w:pPr>
        <w:spacing w:line="480" w:lineRule="auto"/>
        <w:jc w:val="center"/>
        <w:rPr>
          <w:rFonts w:ascii="宋体" w:hAnsi="宋体" w:eastAsia="宋体"/>
          <w:b/>
          <w:sz w:val="24"/>
        </w:rPr>
      </w:pPr>
    </w:p>
    <w:p w14:paraId="7FD845A9">
      <w:pPr>
        <w:spacing w:line="480" w:lineRule="auto"/>
        <w:jc w:val="center"/>
        <w:rPr>
          <w:rFonts w:ascii="宋体" w:hAnsi="宋体" w:eastAsia="宋体"/>
          <w:b/>
          <w:sz w:val="24"/>
        </w:rPr>
      </w:pPr>
    </w:p>
    <w:p w14:paraId="67A52739">
      <w:pPr>
        <w:spacing w:line="360" w:lineRule="auto"/>
        <w:jc w:val="center"/>
        <w:outlineLvl w:val="1"/>
        <w:rPr>
          <w:rFonts w:ascii="宋体" w:hAnsi="宋体" w:eastAsia="宋体"/>
          <w:b/>
          <w:sz w:val="24"/>
        </w:rPr>
      </w:pPr>
      <w:r>
        <w:rPr>
          <w:rFonts w:hint="eastAsia" w:ascii="宋体" w:hAnsi="宋体" w:eastAsia="宋体"/>
          <w:b/>
          <w:sz w:val="24"/>
        </w:rPr>
        <w:t>第一部分 合同书</w:t>
      </w:r>
    </w:p>
    <w:p w14:paraId="6F5AAA44">
      <w:pPr>
        <w:spacing w:line="480" w:lineRule="auto"/>
        <w:jc w:val="center"/>
        <w:rPr>
          <w:rFonts w:ascii="宋体" w:hAnsi="宋体" w:eastAsia="宋体"/>
          <w:b/>
          <w:sz w:val="24"/>
        </w:rPr>
      </w:pPr>
    </w:p>
    <w:p w14:paraId="17BD0A2C">
      <w:pPr>
        <w:spacing w:line="480" w:lineRule="auto"/>
        <w:jc w:val="center"/>
        <w:rPr>
          <w:rFonts w:ascii="宋体" w:hAnsi="宋体" w:eastAsia="宋体"/>
          <w:b/>
          <w:sz w:val="24"/>
        </w:rPr>
      </w:pPr>
    </w:p>
    <w:p w14:paraId="5EBAFCE9">
      <w:pPr>
        <w:spacing w:line="480" w:lineRule="auto"/>
        <w:jc w:val="center"/>
        <w:rPr>
          <w:rFonts w:ascii="宋体" w:hAnsi="宋体" w:eastAsia="宋体"/>
          <w:b/>
          <w:sz w:val="24"/>
        </w:rPr>
      </w:pPr>
    </w:p>
    <w:p w14:paraId="21B07D90">
      <w:pPr>
        <w:spacing w:before="120" w:line="480" w:lineRule="auto"/>
        <w:ind w:left="960"/>
        <w:rPr>
          <w:rFonts w:ascii="宋体" w:hAnsi="宋体" w:eastAsia="宋体"/>
          <w:sz w:val="24"/>
          <w:u w:val="single"/>
        </w:rPr>
      </w:pPr>
      <w:r>
        <w:rPr>
          <w:rFonts w:hint="eastAsia" w:ascii="宋体" w:hAnsi="宋体" w:eastAsia="宋体"/>
          <w:sz w:val="24"/>
        </w:rPr>
        <w:t>项目名称：</w:t>
      </w:r>
      <w:r>
        <w:rPr>
          <w:rFonts w:hint="eastAsia" w:ascii="宋体" w:hAnsi="宋体" w:eastAsia="宋体"/>
          <w:sz w:val="24"/>
          <w:u w:val="single"/>
        </w:rPr>
        <w:t xml:space="preserve">           </w:t>
      </w:r>
      <w:r>
        <w:rPr>
          <w:rFonts w:hint="eastAsia" w:ascii="宋体" w:hAnsi="宋体" w:eastAsia="宋体"/>
          <w:i/>
          <w:iCs/>
          <w:sz w:val="24"/>
        </w:rPr>
        <w:t>（分包项目须填写完整的分包号及分包名称）</w:t>
      </w:r>
    </w:p>
    <w:p w14:paraId="431EB4F6">
      <w:pPr>
        <w:spacing w:before="120" w:line="480" w:lineRule="auto"/>
        <w:ind w:left="960"/>
        <w:rPr>
          <w:rFonts w:ascii="宋体" w:hAnsi="宋体" w:eastAsia="宋体"/>
          <w:sz w:val="24"/>
        </w:rPr>
      </w:pPr>
      <w:r>
        <w:rPr>
          <w:rFonts w:hint="eastAsia" w:ascii="宋体" w:hAnsi="宋体" w:eastAsia="宋体"/>
          <w:sz w:val="24"/>
        </w:rPr>
        <w:t>项目编号：</w:t>
      </w:r>
      <w:r>
        <w:rPr>
          <w:rFonts w:hint="eastAsia" w:ascii="宋体" w:hAnsi="宋体" w:eastAsia="宋体"/>
          <w:sz w:val="24"/>
          <w:u w:val="single"/>
        </w:rPr>
        <w:t xml:space="preserve">            </w:t>
      </w:r>
    </w:p>
    <w:p w14:paraId="654C4160">
      <w:pPr>
        <w:spacing w:before="120" w:line="480" w:lineRule="auto"/>
        <w:ind w:left="960"/>
        <w:rPr>
          <w:rFonts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 xml:space="preserve">                              </w:t>
      </w:r>
    </w:p>
    <w:p w14:paraId="1C13132D">
      <w:pPr>
        <w:spacing w:before="120" w:line="480" w:lineRule="auto"/>
        <w:ind w:left="960"/>
        <w:rPr>
          <w:rFonts w:ascii="宋体" w:hAnsi="宋体" w:eastAsia="宋体"/>
          <w:sz w:val="24"/>
          <w:u w:val="single"/>
        </w:rPr>
      </w:pPr>
      <w:r>
        <w:rPr>
          <w:rFonts w:hint="eastAsia" w:ascii="宋体" w:hAnsi="宋体" w:eastAsia="宋体"/>
          <w:sz w:val="24"/>
        </w:rPr>
        <w:t>乙方（成交供应商）：</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1BB455AB">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14:paraId="5611F71F">
      <w:pPr>
        <w:spacing w:before="120" w:line="480" w:lineRule="auto"/>
        <w:ind w:firstLine="960" w:firstLineChars="40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058BE5D8">
      <w:pPr>
        <w:widowControl/>
        <w:jc w:val="left"/>
        <w:rPr>
          <w:rFonts w:ascii="宋体" w:hAnsi="宋体" w:eastAsia="宋体"/>
          <w:sz w:val="24"/>
        </w:rPr>
      </w:pPr>
      <w:r>
        <w:rPr>
          <w:rFonts w:ascii="宋体" w:hAnsi="宋体" w:eastAsia="宋体"/>
          <w:sz w:val="24"/>
        </w:rPr>
        <w:br w:type="page"/>
      </w:r>
    </w:p>
    <w:p w14:paraId="16A32591">
      <w:pPr>
        <w:spacing w:line="360" w:lineRule="auto"/>
        <w:ind w:firstLine="435"/>
        <w:rPr>
          <w:rFonts w:ascii="宋体" w:hAnsi="宋体" w:eastAsia="宋体"/>
          <w:sz w:val="24"/>
        </w:rPr>
      </w:pPr>
      <w:r>
        <w:rPr>
          <w:rFonts w:hint="eastAsia" w:ascii="宋体" w:hAnsi="宋体" w:eastAsia="宋体"/>
          <w:sz w:val="24"/>
          <w:u w:val="single"/>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宋体" w:hAnsi="宋体" w:eastAsia="宋体"/>
          <w:sz w:val="24"/>
          <w:u w:val="single"/>
        </w:rPr>
        <w:t xml:space="preserve">               </w:t>
      </w:r>
      <w:r>
        <w:rPr>
          <w:rFonts w:hint="eastAsia" w:ascii="宋体" w:hAnsi="宋体" w:eastAsia="宋体"/>
          <w:sz w:val="24"/>
        </w:rPr>
        <w:t>组织的</w:t>
      </w:r>
      <w:r>
        <w:rPr>
          <w:rFonts w:hint="eastAsia" w:ascii="宋体" w:hAnsi="宋体" w:eastAsia="宋体"/>
          <w:sz w:val="24"/>
          <w:u w:val="single"/>
        </w:rPr>
        <w:t>竞争性磋商</w:t>
      </w:r>
      <w:r>
        <w:rPr>
          <w:rFonts w:hint="eastAsia" w:ascii="宋体" w:hAnsi="宋体" w:eastAsia="宋体"/>
          <w:sz w:val="24"/>
        </w:rPr>
        <w:t>方式采购活动，经</w:t>
      </w:r>
      <w:r>
        <w:rPr>
          <w:rFonts w:hint="eastAsia" w:ascii="宋体" w:hAnsi="宋体" w:eastAsia="宋体"/>
          <w:sz w:val="24"/>
          <w:u w:val="single"/>
        </w:rPr>
        <w:t>磋商小组</w:t>
      </w:r>
      <w:r>
        <w:rPr>
          <w:rFonts w:hint="eastAsia" w:ascii="宋体" w:hAnsi="宋体" w:eastAsia="宋体"/>
          <w:sz w:val="24"/>
        </w:rPr>
        <w:t>评定，</w:t>
      </w:r>
      <w:r>
        <w:rPr>
          <w:rFonts w:hint="eastAsia" w:ascii="宋体" w:hAnsi="宋体" w:eastAsia="宋体"/>
          <w:sz w:val="24"/>
          <w:u w:val="single"/>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5F22BB85">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424534CD">
      <w:pPr>
        <w:spacing w:line="360" w:lineRule="auto"/>
        <w:ind w:firstLine="437"/>
        <w:outlineLvl w:val="2"/>
        <w:rPr>
          <w:rFonts w:ascii="宋体" w:hAnsi="宋体" w:eastAsia="宋体"/>
          <w:b/>
          <w:bCs/>
          <w:sz w:val="24"/>
          <w:lang w:val="zh-CN"/>
        </w:rPr>
      </w:pPr>
      <w:bookmarkStart w:id="120" w:name="_Toc2232"/>
      <w:bookmarkStart w:id="121" w:name="_Toc3029"/>
      <w:bookmarkStart w:id="122" w:name="_Toc2405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120"/>
      <w:bookmarkEnd w:id="121"/>
      <w:bookmarkEnd w:id="122"/>
    </w:p>
    <w:p w14:paraId="7881EE1C">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6CE498E">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067E5CE4">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034BBD51">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611EB879">
      <w:pPr>
        <w:spacing w:line="360" w:lineRule="auto"/>
        <w:ind w:firstLine="435"/>
        <w:rPr>
          <w:rFonts w:ascii="宋体" w:hAnsi="宋体" w:eastAsia="宋体"/>
          <w:sz w:val="24"/>
          <w:lang w:val="zh-CN"/>
        </w:rPr>
      </w:pPr>
      <w:r>
        <w:rPr>
          <w:rFonts w:hint="eastAsia" w:ascii="宋体" w:hAnsi="宋体" w:eastAsia="宋体"/>
          <w:sz w:val="24"/>
          <w:lang w:val="zh-CN"/>
        </w:rPr>
        <w:t>1.1.4磋商文件（含澄清或者修改文件）；</w:t>
      </w:r>
    </w:p>
    <w:p w14:paraId="381DC525">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026CDDAD">
      <w:pPr>
        <w:spacing w:line="360" w:lineRule="auto"/>
        <w:ind w:firstLine="437"/>
        <w:outlineLvl w:val="2"/>
        <w:rPr>
          <w:rFonts w:ascii="宋体" w:hAnsi="宋体" w:eastAsia="宋体"/>
          <w:b/>
          <w:bCs/>
          <w:sz w:val="24"/>
          <w:lang w:val="zh-CN"/>
        </w:rPr>
      </w:pPr>
      <w:bookmarkStart w:id="123" w:name="_Toc6311"/>
      <w:bookmarkStart w:id="124" w:name="_Toc6773"/>
      <w:bookmarkStart w:id="125" w:name="_Toc22185"/>
      <w:bookmarkStart w:id="126" w:name="_Toc2918"/>
      <w:bookmarkStart w:id="127" w:name="_Toc18585"/>
      <w:r>
        <w:rPr>
          <w:rFonts w:hint="eastAsia" w:ascii="宋体" w:hAnsi="宋体" w:eastAsia="宋体"/>
          <w:b/>
          <w:bCs/>
          <w:sz w:val="24"/>
          <w:lang w:val="zh-CN"/>
        </w:rPr>
        <w:t xml:space="preserve">1.2 </w:t>
      </w:r>
      <w:bookmarkEnd w:id="123"/>
      <w:bookmarkEnd w:id="124"/>
      <w:bookmarkEnd w:id="125"/>
      <w:bookmarkEnd w:id="126"/>
      <w:bookmarkEnd w:id="127"/>
      <w:r>
        <w:rPr>
          <w:rFonts w:hint="eastAsia" w:ascii="宋体" w:hAnsi="宋体" w:eastAsia="宋体"/>
          <w:b/>
          <w:bCs/>
          <w:sz w:val="24"/>
          <w:lang w:val="zh-CN"/>
        </w:rPr>
        <w:t>服务</w:t>
      </w:r>
    </w:p>
    <w:p w14:paraId="0DA2DD87">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19860F20">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69E0085E">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0331EC73">
      <w:pPr>
        <w:spacing w:line="360" w:lineRule="auto"/>
        <w:ind w:firstLine="437"/>
        <w:outlineLvl w:val="2"/>
        <w:rPr>
          <w:rFonts w:ascii="宋体" w:hAnsi="宋体" w:eastAsia="宋体"/>
          <w:b/>
          <w:bCs/>
          <w:sz w:val="24"/>
          <w:lang w:val="zh-CN"/>
        </w:rPr>
      </w:pPr>
      <w:bookmarkStart w:id="128" w:name="_Toc21551"/>
      <w:bookmarkStart w:id="129" w:name="_Toc23292"/>
      <w:bookmarkStart w:id="130" w:name="_Toc2163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128"/>
      <w:bookmarkEnd w:id="129"/>
      <w:bookmarkEnd w:id="130"/>
    </w:p>
    <w:p w14:paraId="2605B701">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14:paraId="3310E16E">
      <w:pPr>
        <w:spacing w:line="360" w:lineRule="auto"/>
        <w:ind w:firstLine="435"/>
        <w:rPr>
          <w:rFonts w:ascii="宋体" w:hAnsi="宋体" w:eastAsia="宋体"/>
          <w:sz w:val="24"/>
          <w:u w:val="single"/>
        </w:rPr>
      </w:pPr>
      <w:r>
        <w:rPr>
          <w:rFonts w:ascii="宋体" w:hAnsi="宋体" w:eastAsia="宋体"/>
          <w:sz w:val="24"/>
        </w:rPr>
        <w:t>分项价格：</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0C99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01AC0B3">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28293B0A">
            <w:pPr>
              <w:pStyle w:val="49"/>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3FC387FA">
            <w:pPr>
              <w:pStyle w:val="49"/>
              <w:jc w:val="center"/>
              <w:rPr>
                <w:rFonts w:ascii="宋体" w:hAnsi="宋体" w:eastAsia="宋体"/>
                <w:sz w:val="24"/>
                <w:szCs w:val="24"/>
              </w:rPr>
            </w:pPr>
            <w:r>
              <w:rPr>
                <w:rFonts w:ascii="宋体" w:hAnsi="宋体" w:eastAsia="宋体"/>
                <w:sz w:val="24"/>
                <w:szCs w:val="24"/>
              </w:rPr>
              <w:t>分项价格</w:t>
            </w:r>
          </w:p>
        </w:tc>
      </w:tr>
      <w:tr w14:paraId="10BE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02B0475">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6CB0A6C1">
            <w:pPr>
              <w:pStyle w:val="49"/>
              <w:ind w:firstLine="200"/>
              <w:jc w:val="center"/>
              <w:rPr>
                <w:rFonts w:ascii="宋体" w:hAnsi="宋体" w:eastAsia="宋体"/>
                <w:sz w:val="24"/>
                <w:szCs w:val="24"/>
              </w:rPr>
            </w:pPr>
          </w:p>
        </w:tc>
        <w:tc>
          <w:tcPr>
            <w:tcW w:w="1899" w:type="pct"/>
            <w:gridSpan w:val="2"/>
            <w:vAlign w:val="center"/>
          </w:tcPr>
          <w:p w14:paraId="69DF7A12">
            <w:pPr>
              <w:pStyle w:val="49"/>
              <w:ind w:firstLine="200"/>
              <w:jc w:val="center"/>
              <w:rPr>
                <w:rFonts w:ascii="宋体" w:hAnsi="宋体" w:eastAsia="宋体"/>
                <w:sz w:val="24"/>
                <w:szCs w:val="24"/>
              </w:rPr>
            </w:pPr>
          </w:p>
        </w:tc>
      </w:tr>
      <w:tr w14:paraId="3DBD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7A24812B">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7B089621">
            <w:pPr>
              <w:pStyle w:val="49"/>
              <w:ind w:firstLine="200"/>
              <w:jc w:val="center"/>
              <w:rPr>
                <w:rFonts w:ascii="宋体" w:hAnsi="宋体" w:eastAsia="宋体"/>
                <w:sz w:val="24"/>
                <w:szCs w:val="24"/>
              </w:rPr>
            </w:pPr>
          </w:p>
        </w:tc>
        <w:tc>
          <w:tcPr>
            <w:tcW w:w="1899" w:type="pct"/>
            <w:gridSpan w:val="2"/>
            <w:vAlign w:val="center"/>
          </w:tcPr>
          <w:p w14:paraId="7F5D72C5">
            <w:pPr>
              <w:pStyle w:val="49"/>
              <w:ind w:firstLine="200"/>
              <w:jc w:val="center"/>
              <w:rPr>
                <w:rFonts w:ascii="宋体" w:hAnsi="宋体" w:eastAsia="宋体"/>
                <w:sz w:val="24"/>
                <w:szCs w:val="24"/>
              </w:rPr>
            </w:pPr>
          </w:p>
        </w:tc>
      </w:tr>
      <w:tr w14:paraId="2AD0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480220EB">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6E04B99A">
            <w:pPr>
              <w:pStyle w:val="49"/>
              <w:ind w:firstLine="200"/>
              <w:jc w:val="center"/>
              <w:rPr>
                <w:rFonts w:ascii="宋体" w:hAnsi="宋体" w:eastAsia="宋体"/>
                <w:sz w:val="24"/>
                <w:szCs w:val="24"/>
              </w:rPr>
            </w:pPr>
          </w:p>
        </w:tc>
        <w:tc>
          <w:tcPr>
            <w:tcW w:w="1899" w:type="pct"/>
            <w:gridSpan w:val="2"/>
            <w:vAlign w:val="center"/>
          </w:tcPr>
          <w:p w14:paraId="178D2249">
            <w:pPr>
              <w:pStyle w:val="49"/>
              <w:ind w:firstLine="200"/>
              <w:jc w:val="center"/>
              <w:rPr>
                <w:rFonts w:ascii="宋体" w:hAnsi="宋体" w:eastAsia="宋体"/>
                <w:sz w:val="24"/>
                <w:szCs w:val="24"/>
              </w:rPr>
            </w:pPr>
          </w:p>
        </w:tc>
      </w:tr>
      <w:tr w14:paraId="7FE9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47A2A563">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39F995DE">
            <w:pPr>
              <w:pStyle w:val="49"/>
              <w:ind w:firstLine="200"/>
              <w:jc w:val="center"/>
              <w:rPr>
                <w:rFonts w:ascii="宋体" w:hAnsi="宋体" w:eastAsia="宋体"/>
                <w:sz w:val="24"/>
                <w:szCs w:val="24"/>
              </w:rPr>
            </w:pPr>
          </w:p>
        </w:tc>
        <w:tc>
          <w:tcPr>
            <w:tcW w:w="1899" w:type="pct"/>
            <w:gridSpan w:val="2"/>
            <w:vAlign w:val="center"/>
          </w:tcPr>
          <w:p w14:paraId="52796116">
            <w:pPr>
              <w:pStyle w:val="49"/>
              <w:ind w:firstLine="200"/>
              <w:jc w:val="center"/>
              <w:rPr>
                <w:rFonts w:ascii="宋体" w:hAnsi="宋体" w:eastAsia="宋体"/>
                <w:sz w:val="24"/>
                <w:szCs w:val="24"/>
              </w:rPr>
            </w:pPr>
          </w:p>
        </w:tc>
      </w:tr>
      <w:tr w14:paraId="458A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0AD567BB">
            <w:pPr>
              <w:pStyle w:val="49"/>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6D4C3FBC">
            <w:pPr>
              <w:pStyle w:val="49"/>
              <w:ind w:firstLine="200"/>
              <w:jc w:val="center"/>
              <w:rPr>
                <w:rFonts w:ascii="宋体" w:hAnsi="宋体" w:eastAsia="宋体"/>
                <w:sz w:val="24"/>
                <w:szCs w:val="24"/>
              </w:rPr>
            </w:pPr>
          </w:p>
        </w:tc>
      </w:tr>
    </w:tbl>
    <w:p w14:paraId="65796AE0">
      <w:pPr>
        <w:spacing w:line="360" w:lineRule="auto"/>
        <w:ind w:firstLine="437"/>
        <w:outlineLvl w:val="2"/>
        <w:rPr>
          <w:rFonts w:ascii="宋体" w:hAnsi="宋体" w:eastAsia="宋体"/>
          <w:b/>
          <w:bCs/>
          <w:sz w:val="24"/>
          <w:lang w:val="zh-CN"/>
        </w:rPr>
      </w:pPr>
      <w:bookmarkStart w:id="131" w:name="_Toc22618"/>
      <w:bookmarkStart w:id="132" w:name="_Toc1814"/>
      <w:bookmarkStart w:id="133" w:name="_Toc10340"/>
      <w:r>
        <w:rPr>
          <w:rFonts w:hint="eastAsia" w:ascii="宋体" w:hAnsi="宋体" w:eastAsia="宋体"/>
          <w:b/>
          <w:bCs/>
          <w:sz w:val="24"/>
          <w:lang w:val="zh-CN"/>
        </w:rPr>
        <w:t>1.</w:t>
      </w:r>
      <w:r>
        <w:rPr>
          <w:rFonts w:ascii="宋体" w:hAnsi="宋体" w:eastAsia="宋体"/>
          <w:b/>
          <w:bCs/>
          <w:sz w:val="24"/>
          <w:lang w:val="zh-CN"/>
        </w:rPr>
        <w:t>4 付款方式和发票开具方式</w:t>
      </w:r>
      <w:bookmarkEnd w:id="131"/>
      <w:bookmarkEnd w:id="132"/>
      <w:bookmarkEnd w:id="133"/>
    </w:p>
    <w:p w14:paraId="7C20816C">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721829A6">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73E747E">
      <w:pPr>
        <w:spacing w:line="360" w:lineRule="auto"/>
        <w:ind w:firstLine="437"/>
        <w:outlineLvl w:val="2"/>
        <w:rPr>
          <w:rFonts w:ascii="宋体" w:hAnsi="宋体" w:eastAsia="宋体"/>
          <w:b/>
          <w:bCs/>
          <w:sz w:val="24"/>
          <w:lang w:val="zh-CN"/>
        </w:rPr>
      </w:pPr>
      <w:bookmarkStart w:id="134" w:name="_Toc2846"/>
      <w:bookmarkStart w:id="135" w:name="_Toc32071"/>
      <w:bookmarkStart w:id="136"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134"/>
      <w:bookmarkEnd w:id="135"/>
      <w:bookmarkEnd w:id="136"/>
    </w:p>
    <w:p w14:paraId="1E8770A3">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B270A75">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2A487088">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17A4D401">
      <w:pPr>
        <w:spacing w:line="360" w:lineRule="auto"/>
        <w:ind w:firstLine="437"/>
        <w:outlineLvl w:val="2"/>
        <w:rPr>
          <w:rFonts w:ascii="宋体" w:hAnsi="宋体" w:eastAsia="宋体"/>
          <w:b/>
          <w:bCs/>
          <w:sz w:val="24"/>
          <w:lang w:val="zh-CN"/>
        </w:rPr>
      </w:pPr>
      <w:bookmarkStart w:id="137" w:name="_Toc21423"/>
      <w:bookmarkStart w:id="138" w:name="_Toc19554"/>
      <w:bookmarkStart w:id="139" w:name="_Toc27250"/>
      <w:r>
        <w:rPr>
          <w:rFonts w:hint="eastAsia" w:ascii="宋体" w:hAnsi="宋体" w:eastAsia="宋体"/>
          <w:b/>
          <w:bCs/>
          <w:sz w:val="24"/>
          <w:lang w:val="zh-CN"/>
        </w:rPr>
        <w:t>1.6 违约责任</w:t>
      </w:r>
      <w:bookmarkEnd w:id="137"/>
      <w:bookmarkEnd w:id="138"/>
      <w:bookmarkEnd w:id="139"/>
    </w:p>
    <w:p w14:paraId="0F68B7E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5ECEB914">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0C9D9B6F">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D3512F6">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E2BE472">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5222EE">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26335F9E">
      <w:pPr>
        <w:spacing w:line="360" w:lineRule="auto"/>
        <w:ind w:firstLine="435"/>
        <w:rPr>
          <w:rFonts w:asciiTheme="minorEastAsia" w:hAnsiTheme="minorEastAsia" w:eastAsiaTheme="minorEastAsia"/>
          <w:sz w:val="24"/>
        </w:rPr>
      </w:pPr>
      <w:bookmarkStart w:id="140" w:name="_Toc28375"/>
      <w:bookmarkStart w:id="141" w:name="_Toc15583"/>
      <w:bookmarkStart w:id="142" w:name="_Toc16021"/>
      <w:r>
        <w:rPr>
          <w:rFonts w:hint="eastAsia" w:asciiTheme="minorEastAsia" w:hAnsiTheme="minorEastAsia" w:eastAsiaTheme="minorEastAsia"/>
          <w:sz w:val="24"/>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14:textFill>
            <w14:solidFill>
              <w14:schemeClr w14:val="tx1"/>
            </w14:solidFill>
          </w14:textFill>
        </w:rPr>
        <w:t>、逾期退还履约保证金</w:t>
      </w:r>
      <w:r>
        <w:rPr>
          <w:rFonts w:hint="eastAsia" w:asciiTheme="minorEastAsia" w:hAnsiTheme="minorEastAsia" w:eastAsiaTheme="minorEastAsia"/>
          <w:sz w:val="24"/>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0481418">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140"/>
      <w:bookmarkEnd w:id="141"/>
      <w:bookmarkEnd w:id="142"/>
    </w:p>
    <w:p w14:paraId="788CAE86">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63703DD2">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D1639BB">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1772B6B7">
      <w:pPr>
        <w:spacing w:line="360" w:lineRule="auto"/>
        <w:ind w:firstLine="437"/>
        <w:outlineLvl w:val="2"/>
        <w:rPr>
          <w:rFonts w:ascii="宋体" w:hAnsi="宋体" w:eastAsia="宋体"/>
          <w:b/>
          <w:bCs/>
          <w:sz w:val="24"/>
          <w:lang w:val="zh-CN"/>
        </w:rPr>
      </w:pPr>
      <w:bookmarkStart w:id="143" w:name="_Toc7245"/>
      <w:bookmarkStart w:id="144" w:name="_Toc11173"/>
      <w:bookmarkStart w:id="145" w:name="_Toc15322"/>
      <w:r>
        <w:rPr>
          <w:rFonts w:hint="eastAsia" w:ascii="宋体" w:hAnsi="宋体" w:eastAsia="宋体"/>
          <w:b/>
          <w:bCs/>
          <w:sz w:val="24"/>
          <w:lang w:val="zh-CN"/>
        </w:rPr>
        <w:t>1.8</w:t>
      </w:r>
      <w:r>
        <w:rPr>
          <w:rFonts w:ascii="宋体" w:hAnsi="宋体" w:eastAsia="宋体"/>
          <w:b/>
          <w:bCs/>
          <w:sz w:val="24"/>
          <w:lang w:val="zh-CN"/>
        </w:rPr>
        <w:t xml:space="preserve"> 合同生效</w:t>
      </w:r>
      <w:bookmarkEnd w:id="143"/>
      <w:bookmarkEnd w:id="144"/>
      <w:bookmarkEnd w:id="145"/>
    </w:p>
    <w:p w14:paraId="49A2994B">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104F17FF">
      <w:pPr>
        <w:autoSpaceDE w:val="0"/>
        <w:autoSpaceDN w:val="0"/>
        <w:adjustRightInd w:val="0"/>
        <w:spacing w:line="560" w:lineRule="exact"/>
        <w:rPr>
          <w:rFonts w:ascii="宋体" w:hAnsi="宋体" w:eastAsia="宋体"/>
          <w:sz w:val="24"/>
          <w:lang w:val="zh-CN"/>
        </w:rPr>
      </w:pPr>
    </w:p>
    <w:p w14:paraId="150735E2">
      <w:pPr>
        <w:autoSpaceDE w:val="0"/>
        <w:autoSpaceDN w:val="0"/>
        <w:adjustRightInd w:val="0"/>
        <w:spacing w:line="560" w:lineRule="exact"/>
        <w:rPr>
          <w:rFonts w:ascii="宋体" w:hAnsi="宋体" w:eastAsia="宋体"/>
          <w:sz w:val="24"/>
          <w:lang w:val="zh-CN"/>
        </w:rPr>
      </w:pPr>
    </w:p>
    <w:p w14:paraId="11D679A9">
      <w:pPr>
        <w:autoSpaceDE w:val="0"/>
        <w:autoSpaceDN w:val="0"/>
        <w:adjustRightInd w:val="0"/>
        <w:spacing w:line="560" w:lineRule="exact"/>
        <w:rPr>
          <w:rFonts w:ascii="宋体" w:hAnsi="宋体" w:eastAsia="宋体"/>
          <w:sz w:val="24"/>
          <w:lang w:val="zh-CN"/>
        </w:rPr>
      </w:pPr>
    </w:p>
    <w:p w14:paraId="7B4C41CD">
      <w:pPr>
        <w:autoSpaceDE w:val="0"/>
        <w:autoSpaceDN w:val="0"/>
        <w:adjustRightInd w:val="0"/>
        <w:spacing w:line="560" w:lineRule="exact"/>
        <w:rPr>
          <w:rFonts w:cs="Times New Roman" w:asciiTheme="minorEastAsia" w:hAnsiTheme="minorEastAsia" w:eastAsiaTheme="minorEastAsia"/>
          <w:bCs/>
          <w:sz w:val="24"/>
          <w:szCs w:val="24"/>
          <w:lang w:val="zh-CN"/>
        </w:rPr>
      </w:pPr>
      <w:bookmarkStart w:id="146" w:name="_Toc331685783"/>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79F080AF">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 xml:space="preserve">法定代表人                             </w:t>
      </w:r>
      <w:r>
        <w:rPr>
          <w:rFonts w:cs="Times New Roman" w:asciiTheme="minorEastAsia" w:hAnsiTheme="minorEastAsia" w:eastAsiaTheme="minorEastAsia"/>
          <w:sz w:val="24"/>
          <w:szCs w:val="24"/>
          <w:lang w:val="zh-CN"/>
        </w:rPr>
        <w:t xml:space="preserve">  </w:t>
      </w:r>
      <w:r>
        <w:rPr>
          <w:rFonts w:hint="eastAsia" w:cs="Times New Roman" w:asciiTheme="minorEastAsia" w:hAnsiTheme="minorEastAsia" w:eastAsiaTheme="minorEastAsia"/>
          <w:sz w:val="24"/>
          <w:szCs w:val="24"/>
          <w:lang w:val="zh-CN"/>
        </w:rPr>
        <w:t>法定代表人</w:t>
      </w:r>
    </w:p>
    <w:p w14:paraId="11FA257B">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或授权代表（签字）：                      或授权代表（签字）：</w:t>
      </w:r>
    </w:p>
    <w:p w14:paraId="74267E19">
      <w:pPr>
        <w:widowControl/>
        <w:spacing w:line="560" w:lineRule="exact"/>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6E813E39">
      <w:pPr>
        <w:widowControl/>
        <w:spacing w:line="560" w:lineRule="exact"/>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乙方账户信息</w:t>
      </w:r>
    </w:p>
    <w:p w14:paraId="1D6F74C9">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户名：</w:t>
      </w:r>
      <w:r>
        <w:rPr>
          <w:rFonts w:hint="eastAsia" w:cs="Times New Roman" w:asciiTheme="minorEastAsia" w:hAnsiTheme="minorEastAsia" w:eastAsiaTheme="minorEastAsia"/>
          <w:bCs/>
          <w:sz w:val="24"/>
          <w:szCs w:val="24"/>
          <w:u w:val="single"/>
        </w:rPr>
        <w:t xml:space="preserve">                    </w:t>
      </w:r>
    </w:p>
    <w:p w14:paraId="06A63502">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账号：</w:t>
      </w:r>
      <w:r>
        <w:rPr>
          <w:rFonts w:hint="eastAsia" w:cs="Times New Roman" w:asciiTheme="minorEastAsia" w:hAnsiTheme="minorEastAsia" w:eastAsiaTheme="minorEastAsia"/>
          <w:bCs/>
          <w:sz w:val="24"/>
          <w:szCs w:val="24"/>
          <w:u w:val="single"/>
        </w:rPr>
        <w:t xml:space="preserve">                    </w:t>
      </w:r>
    </w:p>
    <w:p w14:paraId="147017C2">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开户银行：</w:t>
      </w:r>
      <w:r>
        <w:rPr>
          <w:rFonts w:hint="eastAsia" w:cs="Times New Roman" w:asciiTheme="minorEastAsia" w:hAnsiTheme="minorEastAsia" w:eastAsiaTheme="minorEastAsia"/>
          <w:bCs/>
          <w:sz w:val="24"/>
          <w:szCs w:val="24"/>
          <w:u w:val="single"/>
        </w:rPr>
        <w:t xml:space="preserve">                </w:t>
      </w:r>
    </w:p>
    <w:p w14:paraId="5615756F">
      <w:pPr>
        <w:widowControl/>
        <w:jc w:val="left"/>
        <w:rPr>
          <w:rFonts w:ascii="宋体" w:hAnsi="宋体" w:eastAsia="宋体"/>
          <w:b/>
          <w:sz w:val="24"/>
        </w:rPr>
      </w:pPr>
      <w:r>
        <w:rPr>
          <w:rFonts w:ascii="宋体" w:hAnsi="宋体" w:eastAsia="宋体"/>
          <w:b/>
          <w:sz w:val="24"/>
        </w:rPr>
        <w:br w:type="page"/>
      </w:r>
    </w:p>
    <w:p w14:paraId="25F23322">
      <w:pPr>
        <w:spacing w:line="360" w:lineRule="auto"/>
        <w:jc w:val="center"/>
        <w:outlineLvl w:val="1"/>
        <w:rPr>
          <w:rFonts w:ascii="宋体" w:hAnsi="宋体" w:eastAsia="宋体"/>
          <w:b/>
          <w:sz w:val="24"/>
        </w:rPr>
      </w:pPr>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146"/>
    </w:p>
    <w:p w14:paraId="16028DB4">
      <w:pPr>
        <w:spacing w:line="360" w:lineRule="auto"/>
        <w:ind w:firstLine="437"/>
        <w:outlineLvl w:val="2"/>
        <w:rPr>
          <w:rFonts w:ascii="宋体" w:hAnsi="宋体" w:eastAsia="宋体"/>
          <w:b/>
          <w:bCs/>
          <w:sz w:val="24"/>
          <w:lang w:val="zh-CN"/>
        </w:rPr>
      </w:pPr>
      <w:bookmarkStart w:id="147" w:name="_Toc28763"/>
      <w:bookmarkStart w:id="148" w:name="_Ref467379109"/>
      <w:bookmarkStart w:id="149" w:name="_Ref467379214"/>
      <w:bookmarkStart w:id="150" w:name="_Ref467379101"/>
      <w:bookmarkStart w:id="151" w:name="_Ref467379094"/>
      <w:bookmarkStart w:id="152" w:name="_Ref467379195"/>
      <w:bookmarkStart w:id="153" w:name="_Toc259093669"/>
      <w:bookmarkStart w:id="154" w:name="_Ref467379225"/>
      <w:bookmarkStart w:id="155" w:name="_Toc19614"/>
      <w:bookmarkStart w:id="156" w:name="_Ref467378499"/>
      <w:bookmarkStart w:id="157" w:name="_Ref467379205"/>
      <w:bookmarkStart w:id="158" w:name="_Toc487900349"/>
      <w:bookmarkStart w:id="159" w:name="_Toc16917"/>
      <w:bookmarkStart w:id="160" w:name="_Toc279701240"/>
      <w:bookmarkStart w:id="161" w:name="_Ref467378404"/>
      <w:bookmarkStart w:id="162" w:name="_Ref467378463"/>
      <w:r>
        <w:rPr>
          <w:rFonts w:hint="eastAsia" w:ascii="宋体" w:hAnsi="宋体" w:eastAsia="宋体"/>
          <w:b/>
          <w:bCs/>
          <w:sz w:val="24"/>
          <w:lang w:val="zh-CN"/>
        </w:rPr>
        <w:t>2.1</w:t>
      </w:r>
      <w:r>
        <w:rPr>
          <w:rFonts w:ascii="宋体" w:hAnsi="宋体" w:eastAsia="宋体"/>
          <w:b/>
          <w:bCs/>
          <w:sz w:val="24"/>
          <w:lang w:val="zh-CN"/>
        </w:rPr>
        <w:t xml:space="preserve"> 定义</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7FF23AB">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56DCF26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49563B0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64599A0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除货物和工程以外的其他政府采购对象，包括采购人自身需要的服务和向社会公众提供的公共服务。</w:t>
      </w:r>
    </w:p>
    <w:p w14:paraId="447D4486">
      <w:pPr>
        <w:spacing w:line="360" w:lineRule="auto"/>
        <w:ind w:firstLine="435"/>
        <w:rPr>
          <w:rFonts w:ascii="宋体" w:hAnsi="宋体" w:eastAsia="宋体"/>
          <w:sz w:val="24"/>
        </w:rPr>
      </w:pPr>
      <w:bookmarkStart w:id="163"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bookmarkEnd w:id="163"/>
      <w:r>
        <w:rPr>
          <w:rFonts w:hint="eastAsia" w:ascii="宋体" w:hAnsi="宋体" w:eastAsia="宋体"/>
          <w:sz w:val="24"/>
        </w:rPr>
        <w:t>；采购人委托采购代理机构代表其与乙方签订合同的，采购人的授权委托书作为合同附件。</w:t>
      </w:r>
    </w:p>
    <w:p w14:paraId="1A37E2BC">
      <w:pPr>
        <w:spacing w:line="360" w:lineRule="auto"/>
        <w:ind w:firstLine="435"/>
        <w:rPr>
          <w:rFonts w:ascii="宋体" w:hAnsi="宋体" w:eastAsia="宋体"/>
          <w:sz w:val="24"/>
        </w:rPr>
      </w:pPr>
      <w:bookmarkStart w:id="164"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164"/>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F61D6">
      <w:pPr>
        <w:spacing w:line="360" w:lineRule="auto"/>
        <w:ind w:firstLine="435"/>
        <w:rPr>
          <w:rFonts w:ascii="宋体" w:hAnsi="宋体" w:eastAsia="宋体"/>
          <w:sz w:val="24"/>
        </w:rPr>
      </w:pPr>
      <w:bookmarkStart w:id="165"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165"/>
    </w:p>
    <w:p w14:paraId="5C7B6970">
      <w:pPr>
        <w:spacing w:line="360" w:lineRule="auto"/>
        <w:ind w:firstLine="437"/>
        <w:outlineLvl w:val="2"/>
        <w:rPr>
          <w:rFonts w:ascii="宋体" w:hAnsi="宋体" w:eastAsia="宋体"/>
          <w:b/>
          <w:bCs/>
          <w:sz w:val="24"/>
          <w:lang w:val="zh-CN"/>
        </w:rPr>
      </w:pPr>
      <w:bookmarkStart w:id="166" w:name="_Toc259093670"/>
      <w:bookmarkStart w:id="167" w:name="_Toc32504"/>
      <w:bookmarkStart w:id="168" w:name="_Toc279701241"/>
      <w:bookmarkStart w:id="169" w:name="_Toc27635"/>
      <w:bookmarkStart w:id="170" w:name="_Toc487900350"/>
      <w:bookmarkStart w:id="171" w:name="_Toc13336"/>
      <w:r>
        <w:rPr>
          <w:rFonts w:hint="eastAsia" w:ascii="宋体" w:hAnsi="宋体" w:eastAsia="宋体"/>
          <w:b/>
          <w:bCs/>
          <w:sz w:val="24"/>
          <w:lang w:val="zh-CN"/>
        </w:rPr>
        <w:t>2.</w:t>
      </w:r>
      <w:r>
        <w:rPr>
          <w:rFonts w:ascii="宋体" w:hAnsi="宋体" w:eastAsia="宋体"/>
          <w:b/>
          <w:bCs/>
          <w:sz w:val="24"/>
          <w:lang w:val="zh-CN"/>
        </w:rPr>
        <w:t>2 技术规范</w:t>
      </w:r>
      <w:bookmarkEnd w:id="166"/>
      <w:bookmarkEnd w:id="167"/>
      <w:bookmarkEnd w:id="168"/>
      <w:bookmarkEnd w:id="169"/>
      <w:bookmarkEnd w:id="170"/>
      <w:bookmarkEnd w:id="171"/>
    </w:p>
    <w:p w14:paraId="1C040695">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15DEEFF9">
      <w:pPr>
        <w:spacing w:line="360" w:lineRule="auto"/>
        <w:ind w:firstLine="437"/>
        <w:outlineLvl w:val="2"/>
        <w:rPr>
          <w:rFonts w:ascii="宋体" w:hAnsi="宋体" w:eastAsia="宋体"/>
          <w:b/>
          <w:bCs/>
          <w:sz w:val="24"/>
          <w:lang w:val="zh-CN"/>
        </w:rPr>
      </w:pPr>
      <w:bookmarkStart w:id="172" w:name="_Toc31634"/>
      <w:bookmarkStart w:id="173" w:name="_Toc259093671"/>
      <w:bookmarkStart w:id="174" w:name="_Toc487900351"/>
      <w:bookmarkStart w:id="175" w:name="_Toc27853"/>
      <w:bookmarkStart w:id="176" w:name="_Toc279701242"/>
      <w:bookmarkStart w:id="177" w:name="_Toc9829"/>
      <w:r>
        <w:rPr>
          <w:rFonts w:hint="eastAsia" w:ascii="宋体" w:hAnsi="宋体" w:eastAsia="宋体"/>
          <w:b/>
          <w:bCs/>
          <w:sz w:val="24"/>
          <w:lang w:val="zh-CN"/>
        </w:rPr>
        <w:t>2.</w:t>
      </w:r>
      <w:r>
        <w:rPr>
          <w:rFonts w:ascii="宋体" w:hAnsi="宋体" w:eastAsia="宋体"/>
          <w:b/>
          <w:bCs/>
          <w:sz w:val="24"/>
          <w:lang w:val="zh-CN"/>
        </w:rPr>
        <w:t>3 知识产权</w:t>
      </w:r>
      <w:bookmarkEnd w:id="172"/>
      <w:bookmarkEnd w:id="173"/>
      <w:bookmarkEnd w:id="174"/>
      <w:bookmarkEnd w:id="175"/>
      <w:bookmarkEnd w:id="176"/>
      <w:bookmarkEnd w:id="177"/>
    </w:p>
    <w:p w14:paraId="6F984A1F">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2BDCCC97">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3D1F012A">
      <w:pPr>
        <w:spacing w:line="360" w:lineRule="auto"/>
        <w:ind w:firstLine="437"/>
        <w:outlineLvl w:val="2"/>
        <w:rPr>
          <w:rFonts w:ascii="宋体" w:hAnsi="宋体" w:eastAsia="宋体"/>
          <w:b/>
          <w:bCs/>
          <w:sz w:val="24"/>
          <w:lang w:val="zh-CN"/>
        </w:rPr>
      </w:pPr>
      <w:bookmarkStart w:id="178" w:name="_Ref467379542"/>
      <w:bookmarkStart w:id="179" w:name="_Toc259093674"/>
      <w:bookmarkStart w:id="180" w:name="_Ref467378591"/>
      <w:bookmarkStart w:id="181" w:name="_Toc487900354"/>
      <w:bookmarkStart w:id="182" w:name="_Toc279701245"/>
      <w:bookmarkStart w:id="183" w:name="_Ref467379536"/>
      <w:bookmarkStart w:id="184" w:name="_Ref467378541"/>
      <w:bookmarkStart w:id="185" w:name="_Ref467379527"/>
      <w:bookmarkStart w:id="186" w:name="_Toc19074"/>
      <w:bookmarkStart w:id="187" w:name="_Toc30272"/>
      <w:bookmarkStart w:id="188" w:name="_Toc26182"/>
      <w:r>
        <w:rPr>
          <w:rFonts w:hint="eastAsia" w:ascii="宋体" w:hAnsi="宋体" w:eastAsia="宋体"/>
          <w:b/>
          <w:bCs/>
          <w:sz w:val="24"/>
          <w:lang w:val="zh-CN"/>
        </w:rPr>
        <w:t>2.</w:t>
      </w:r>
      <w:bookmarkEnd w:id="178"/>
      <w:bookmarkEnd w:id="179"/>
      <w:bookmarkEnd w:id="180"/>
      <w:bookmarkEnd w:id="181"/>
      <w:bookmarkEnd w:id="182"/>
      <w:bookmarkEnd w:id="183"/>
      <w:bookmarkEnd w:id="184"/>
      <w:bookmarkEnd w:id="185"/>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186"/>
      <w:bookmarkEnd w:id="187"/>
      <w:bookmarkEnd w:id="188"/>
    </w:p>
    <w:p w14:paraId="070C6400">
      <w:pPr>
        <w:spacing w:line="360" w:lineRule="auto"/>
        <w:ind w:firstLine="435"/>
        <w:rPr>
          <w:rFonts w:ascii="宋体" w:hAnsi="宋体" w:eastAsia="宋体"/>
          <w:sz w:val="24"/>
        </w:rPr>
      </w:pPr>
      <w:bookmarkStart w:id="189" w:name="_Toc186431854"/>
      <w:bookmarkStart w:id="190" w:name="_Ref467379793"/>
      <w:bookmarkStart w:id="191" w:name="_Ref467379807"/>
      <w:bookmarkStart w:id="192" w:name="_Toc487900357"/>
      <w:bookmarkStart w:id="193" w:name="_Toc279701247"/>
      <w:bookmarkStart w:id="194" w:name="_Toc259093676"/>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1E5CB5F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189"/>
      <w:bookmarkStart w:id="195" w:name="_Toc186431855"/>
      <w:r>
        <w:rPr>
          <w:rFonts w:hint="eastAsia" w:ascii="宋体" w:hAnsi="宋体" w:eastAsia="宋体"/>
          <w:sz w:val="24"/>
        </w:rPr>
        <w:t>。</w:t>
      </w:r>
    </w:p>
    <w:bookmarkEnd w:id="195"/>
    <w:p w14:paraId="6452DA45">
      <w:pPr>
        <w:spacing w:line="360" w:lineRule="auto"/>
        <w:ind w:firstLine="437"/>
        <w:outlineLvl w:val="2"/>
        <w:rPr>
          <w:rFonts w:ascii="宋体" w:hAnsi="宋体" w:eastAsia="宋体"/>
          <w:b/>
          <w:bCs/>
          <w:sz w:val="24"/>
          <w:lang w:val="zh-CN"/>
        </w:rPr>
      </w:pPr>
      <w:bookmarkStart w:id="196" w:name="_Toc7836"/>
      <w:bookmarkStart w:id="197" w:name="_Toc19219"/>
      <w:bookmarkStart w:id="198" w:name="_Toc28451"/>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bookmarkEnd w:id="190"/>
      <w:bookmarkEnd w:id="191"/>
      <w:bookmarkEnd w:id="192"/>
      <w:bookmarkEnd w:id="193"/>
      <w:bookmarkEnd w:id="194"/>
      <w:bookmarkEnd w:id="196"/>
      <w:bookmarkEnd w:id="197"/>
      <w:bookmarkEnd w:id="198"/>
    </w:p>
    <w:p w14:paraId="24670D6F">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568E9B92">
      <w:pPr>
        <w:spacing w:line="360" w:lineRule="auto"/>
        <w:ind w:firstLine="437"/>
        <w:outlineLvl w:val="2"/>
        <w:rPr>
          <w:rFonts w:ascii="宋体" w:hAnsi="宋体" w:eastAsia="宋体"/>
          <w:b/>
          <w:bCs/>
          <w:sz w:val="24"/>
          <w:lang w:val="zh-CN"/>
        </w:rPr>
      </w:pPr>
      <w:bookmarkStart w:id="199" w:name="_Toc259093677"/>
      <w:bookmarkStart w:id="200" w:name="_Toc279701248"/>
      <w:bookmarkStart w:id="201" w:name="_Ref467379863"/>
      <w:bookmarkStart w:id="202" w:name="_Ref467379923"/>
      <w:bookmarkStart w:id="203" w:name="_Ref467379852"/>
      <w:bookmarkStart w:id="204" w:name="_Toc487900358"/>
      <w:bookmarkStart w:id="205" w:name="_Toc774"/>
      <w:bookmarkStart w:id="206" w:name="_Toc16110"/>
      <w:bookmarkStart w:id="207" w:name="_Toc3225"/>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w:t>
      </w:r>
      <w:bookmarkEnd w:id="199"/>
      <w:bookmarkEnd w:id="200"/>
      <w:bookmarkEnd w:id="201"/>
      <w:bookmarkEnd w:id="202"/>
      <w:bookmarkEnd w:id="203"/>
      <w:bookmarkEnd w:id="204"/>
      <w:r>
        <w:rPr>
          <w:rFonts w:ascii="宋体" w:hAnsi="宋体" w:eastAsia="宋体"/>
          <w:b/>
          <w:bCs/>
          <w:sz w:val="24"/>
          <w:lang w:val="zh-CN"/>
        </w:rPr>
        <w:t>和保密义务</w:t>
      </w:r>
      <w:bookmarkEnd w:id="205"/>
      <w:bookmarkEnd w:id="206"/>
      <w:bookmarkEnd w:id="207"/>
    </w:p>
    <w:p w14:paraId="4AD94D6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4F910AF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208A579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7F867042">
      <w:pPr>
        <w:spacing w:line="360" w:lineRule="auto"/>
        <w:ind w:firstLine="437"/>
        <w:outlineLvl w:val="2"/>
        <w:rPr>
          <w:rFonts w:ascii="宋体" w:hAnsi="宋体" w:eastAsia="宋体"/>
          <w:b/>
          <w:bCs/>
          <w:sz w:val="24"/>
          <w:lang w:val="zh-CN"/>
        </w:rPr>
      </w:pPr>
      <w:bookmarkStart w:id="208" w:name="_Toc7860"/>
      <w:r>
        <w:rPr>
          <w:rFonts w:ascii="宋体" w:hAnsi="宋体" w:eastAsia="宋体"/>
          <w:b/>
          <w:bCs/>
          <w:sz w:val="24"/>
          <w:lang w:val="zh-CN"/>
        </w:rPr>
        <w:t>2.7 质量保证</w:t>
      </w:r>
      <w:bookmarkEnd w:id="208"/>
    </w:p>
    <w:p w14:paraId="6DCB29C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5AB2DB0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26F01BD5">
      <w:pPr>
        <w:spacing w:line="360" w:lineRule="auto"/>
        <w:ind w:firstLine="437"/>
        <w:outlineLvl w:val="2"/>
        <w:rPr>
          <w:rFonts w:ascii="宋体" w:hAnsi="宋体" w:eastAsia="宋体"/>
          <w:b/>
          <w:sz w:val="24"/>
        </w:rPr>
      </w:pPr>
      <w:bookmarkStart w:id="209" w:name="_Toc22267"/>
      <w:r>
        <w:rPr>
          <w:rFonts w:hint="eastAsia" w:ascii="宋体" w:hAnsi="宋体" w:eastAsia="宋体"/>
          <w:b/>
          <w:sz w:val="24"/>
        </w:rPr>
        <w:t>2.8 延迟履行</w:t>
      </w:r>
      <w:bookmarkEnd w:id="209"/>
    </w:p>
    <w:p w14:paraId="4F453C48">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6B7F4F75">
      <w:pPr>
        <w:spacing w:line="360" w:lineRule="auto"/>
        <w:ind w:firstLine="437"/>
        <w:outlineLvl w:val="2"/>
        <w:rPr>
          <w:rFonts w:ascii="宋体" w:hAnsi="宋体" w:eastAsia="宋体"/>
          <w:b/>
          <w:bCs/>
          <w:sz w:val="24"/>
          <w:lang w:val="zh-CN"/>
        </w:rPr>
      </w:pPr>
      <w:bookmarkStart w:id="210" w:name="_Toc7502"/>
      <w:bookmarkStart w:id="211" w:name="_Toc487900364"/>
      <w:bookmarkStart w:id="212" w:name="_Toc259093683"/>
      <w:bookmarkStart w:id="213" w:name="_Toc279701254"/>
      <w:bookmarkStart w:id="214" w:name="_Ref467378121"/>
      <w:r>
        <w:rPr>
          <w:rFonts w:ascii="宋体" w:hAnsi="宋体" w:eastAsia="宋体"/>
          <w:b/>
          <w:bCs/>
          <w:sz w:val="24"/>
          <w:lang w:val="zh-CN"/>
        </w:rPr>
        <w:t>2.9 合同变更</w:t>
      </w:r>
      <w:bookmarkEnd w:id="210"/>
    </w:p>
    <w:p w14:paraId="62FBBEA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77891C0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215" w:name="_Toc487900369"/>
      <w:bookmarkStart w:id="216" w:name="_Toc259093688"/>
      <w:bookmarkStart w:id="217" w:name="_Toc279701259"/>
    </w:p>
    <w:p w14:paraId="3C24ABC7">
      <w:pPr>
        <w:spacing w:line="360" w:lineRule="auto"/>
        <w:ind w:firstLine="437"/>
        <w:outlineLvl w:val="2"/>
        <w:rPr>
          <w:rFonts w:ascii="宋体" w:hAnsi="宋体" w:eastAsia="宋体"/>
          <w:b/>
          <w:bCs/>
          <w:sz w:val="24"/>
          <w:lang w:val="zh-CN"/>
        </w:rPr>
      </w:pPr>
      <w:bookmarkStart w:id="218" w:name="_Toc10366"/>
      <w:bookmarkStart w:id="219" w:name="_Toc22955"/>
      <w:bookmarkStart w:id="220" w:name="_Toc15237"/>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w:t>
      </w:r>
      <w:bookmarkEnd w:id="215"/>
      <w:bookmarkEnd w:id="216"/>
      <w:bookmarkEnd w:id="217"/>
      <w:r>
        <w:rPr>
          <w:rFonts w:ascii="宋体" w:hAnsi="宋体" w:eastAsia="宋体"/>
          <w:b/>
          <w:bCs/>
          <w:sz w:val="24"/>
          <w:lang w:val="zh-CN"/>
        </w:rPr>
        <w:t>和分包</w:t>
      </w:r>
      <w:bookmarkEnd w:id="218"/>
      <w:bookmarkEnd w:id="219"/>
      <w:bookmarkEnd w:id="220"/>
    </w:p>
    <w:p w14:paraId="545D1F76">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495076CB">
      <w:pPr>
        <w:spacing w:line="360" w:lineRule="auto"/>
        <w:ind w:firstLine="437"/>
        <w:outlineLvl w:val="2"/>
        <w:rPr>
          <w:rFonts w:ascii="宋体" w:hAnsi="宋体" w:eastAsia="宋体"/>
          <w:b/>
          <w:bCs/>
          <w:sz w:val="24"/>
          <w:lang w:val="zh-CN"/>
        </w:rPr>
      </w:pPr>
      <w:bookmarkStart w:id="221" w:name="_Toc13566"/>
      <w:bookmarkStart w:id="222" w:name="_Toc16508"/>
      <w:bookmarkStart w:id="223" w:name="_Toc14066"/>
      <w:r>
        <w:rPr>
          <w:rFonts w:hint="eastAsia" w:ascii="宋体" w:hAnsi="宋体" w:eastAsia="宋体"/>
          <w:b/>
          <w:bCs/>
          <w:sz w:val="24"/>
          <w:lang w:val="zh-CN"/>
        </w:rPr>
        <w:t>2.1</w:t>
      </w:r>
      <w:r>
        <w:rPr>
          <w:rFonts w:ascii="宋体" w:hAnsi="宋体" w:eastAsia="宋体"/>
          <w:b/>
          <w:bCs/>
          <w:sz w:val="24"/>
          <w:lang w:val="zh-CN"/>
        </w:rPr>
        <w:t>1 不可抗力</w:t>
      </w:r>
      <w:bookmarkEnd w:id="221"/>
      <w:bookmarkEnd w:id="222"/>
      <w:bookmarkEnd w:id="223"/>
    </w:p>
    <w:p w14:paraId="6B27A5F7">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39145163">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288A1A86">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3AEA5A9C">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08CAF735">
      <w:pPr>
        <w:spacing w:line="360" w:lineRule="auto"/>
        <w:ind w:firstLine="437"/>
        <w:outlineLvl w:val="2"/>
        <w:rPr>
          <w:rFonts w:ascii="宋体" w:hAnsi="宋体" w:eastAsia="宋体"/>
          <w:b/>
          <w:bCs/>
          <w:sz w:val="24"/>
          <w:lang w:val="zh-CN"/>
        </w:rPr>
      </w:pPr>
      <w:bookmarkStart w:id="224" w:name="_Toc487900365"/>
      <w:bookmarkStart w:id="225" w:name="_Toc6969"/>
      <w:bookmarkStart w:id="226" w:name="_Toc259093684"/>
      <w:bookmarkStart w:id="227" w:name="_Toc689"/>
      <w:bookmarkStart w:id="228" w:name="_Toc279701255"/>
      <w:bookmarkStart w:id="229" w:name="_Toc30676"/>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bookmarkEnd w:id="224"/>
      <w:bookmarkEnd w:id="225"/>
      <w:bookmarkEnd w:id="226"/>
      <w:bookmarkEnd w:id="227"/>
      <w:bookmarkEnd w:id="228"/>
      <w:bookmarkEnd w:id="229"/>
    </w:p>
    <w:p w14:paraId="0879E6AB">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08D72B8A">
      <w:pPr>
        <w:spacing w:line="360" w:lineRule="auto"/>
        <w:ind w:firstLine="437"/>
        <w:outlineLvl w:val="2"/>
        <w:rPr>
          <w:rFonts w:ascii="宋体" w:hAnsi="宋体" w:eastAsia="宋体"/>
          <w:b/>
          <w:bCs/>
          <w:sz w:val="24"/>
          <w:lang w:val="zh-CN"/>
        </w:rPr>
      </w:pPr>
      <w:bookmarkStart w:id="230" w:name="_Toc7102"/>
      <w:bookmarkStart w:id="231" w:name="_Toc259093687"/>
      <w:bookmarkStart w:id="232" w:name="_Toc8298"/>
      <w:bookmarkStart w:id="233" w:name="_Toc279701258"/>
      <w:bookmarkStart w:id="234" w:name="_Toc487900368"/>
      <w:bookmarkStart w:id="235" w:name="_Toc16959"/>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bookmarkEnd w:id="230"/>
      <w:bookmarkEnd w:id="231"/>
      <w:bookmarkEnd w:id="232"/>
      <w:bookmarkEnd w:id="233"/>
      <w:bookmarkEnd w:id="234"/>
      <w:bookmarkEnd w:id="235"/>
    </w:p>
    <w:p w14:paraId="7A7DCAAF">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4D085560">
      <w:pPr>
        <w:spacing w:line="360" w:lineRule="auto"/>
        <w:ind w:firstLine="437"/>
        <w:outlineLvl w:val="2"/>
        <w:rPr>
          <w:rFonts w:ascii="宋体" w:hAnsi="宋体" w:eastAsia="宋体"/>
          <w:b/>
          <w:sz w:val="24"/>
        </w:rPr>
      </w:pPr>
      <w:bookmarkStart w:id="236" w:name="_Toc29333"/>
      <w:bookmarkStart w:id="237" w:name="_Toc6134"/>
      <w:bookmarkStart w:id="238" w:name="_Toc15387"/>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236"/>
      <w:bookmarkEnd w:id="237"/>
      <w:bookmarkEnd w:id="238"/>
    </w:p>
    <w:p w14:paraId="4F0C7307">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75FFE40D">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1C6ED801">
      <w:pPr>
        <w:spacing w:line="360" w:lineRule="auto"/>
        <w:ind w:firstLine="437"/>
        <w:outlineLvl w:val="2"/>
        <w:rPr>
          <w:rFonts w:ascii="宋体" w:hAnsi="宋体" w:eastAsia="宋体"/>
          <w:b/>
          <w:bCs/>
          <w:sz w:val="24"/>
          <w:lang w:val="zh-CN"/>
        </w:rPr>
      </w:pPr>
      <w:bookmarkStart w:id="239" w:name="_Toc6596"/>
      <w:bookmarkStart w:id="240" w:name="_Toc14563"/>
      <w:bookmarkStart w:id="241" w:name="_Toc1125"/>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239"/>
      <w:bookmarkEnd w:id="240"/>
      <w:bookmarkEnd w:id="241"/>
    </w:p>
    <w:p w14:paraId="5FD38ED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46202ED4">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39B24B">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211"/>
    <w:bookmarkEnd w:id="212"/>
    <w:bookmarkEnd w:id="213"/>
    <w:bookmarkEnd w:id="214"/>
    <w:p w14:paraId="3DBF99BB">
      <w:pPr>
        <w:spacing w:line="360" w:lineRule="auto"/>
        <w:ind w:firstLine="437"/>
        <w:outlineLvl w:val="2"/>
        <w:rPr>
          <w:rFonts w:ascii="宋体" w:hAnsi="宋体" w:eastAsia="宋体"/>
          <w:b/>
          <w:bCs/>
          <w:sz w:val="24"/>
        </w:rPr>
      </w:pPr>
      <w:bookmarkStart w:id="242" w:name="_Toc487900373"/>
      <w:bookmarkStart w:id="243" w:name="_Toc10330"/>
      <w:bookmarkStart w:id="244" w:name="_Toc279701263"/>
      <w:bookmarkStart w:id="245" w:name="_Toc259093692"/>
      <w:bookmarkStart w:id="246" w:name="_Toc18567"/>
      <w:bookmarkStart w:id="247" w:name="_Toc12773"/>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242"/>
      <w:bookmarkEnd w:id="243"/>
      <w:bookmarkEnd w:id="244"/>
      <w:bookmarkEnd w:id="245"/>
      <w:bookmarkEnd w:id="246"/>
      <w:bookmarkEnd w:id="247"/>
    </w:p>
    <w:p w14:paraId="4263C8B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593DD89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549D4322">
      <w:pPr>
        <w:spacing w:line="360" w:lineRule="auto"/>
        <w:ind w:firstLine="437"/>
        <w:outlineLvl w:val="2"/>
        <w:rPr>
          <w:rFonts w:ascii="宋体" w:hAnsi="宋体" w:eastAsia="宋体"/>
          <w:b/>
          <w:sz w:val="24"/>
        </w:rPr>
      </w:pPr>
      <w:bookmarkStart w:id="248" w:name="_Toc3148"/>
      <w:bookmarkStart w:id="249" w:name="_Toc16673"/>
      <w:bookmarkStart w:id="250" w:name="_Toc12004"/>
      <w:bookmarkStart w:id="251" w:name="_Toc259093693"/>
      <w:bookmarkStart w:id="252" w:name="_Toc279701264"/>
      <w:bookmarkStart w:id="253" w:name="_Toc487900374"/>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bookmarkEnd w:id="248"/>
      <w:bookmarkEnd w:id="249"/>
      <w:bookmarkEnd w:id="250"/>
      <w:bookmarkEnd w:id="251"/>
      <w:bookmarkEnd w:id="252"/>
    </w:p>
    <w:p w14:paraId="5B2C197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w:t>
      </w:r>
    </w:p>
    <w:p w14:paraId="2918895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甲方逾期退还履约保证金应承担违约责任。</w:t>
      </w:r>
    </w:p>
    <w:p w14:paraId="4AB5C13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253"/>
    <w:p w14:paraId="5833BD28">
      <w:pPr>
        <w:spacing w:line="360" w:lineRule="auto"/>
        <w:ind w:firstLine="437"/>
        <w:outlineLvl w:val="2"/>
        <w:rPr>
          <w:rFonts w:ascii="宋体" w:hAnsi="宋体" w:eastAsia="宋体"/>
          <w:b/>
          <w:sz w:val="24"/>
        </w:rPr>
      </w:pPr>
      <w:bookmarkStart w:id="254" w:name="_Toc19890"/>
      <w:bookmarkStart w:id="255" w:name="_Toc14001"/>
      <w:bookmarkStart w:id="256" w:name="_Toc6885"/>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254"/>
      <w:bookmarkEnd w:id="255"/>
      <w:bookmarkEnd w:id="256"/>
    </w:p>
    <w:p w14:paraId="0B5D4928">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2BA0EF36">
      <w:pPr>
        <w:spacing w:line="360" w:lineRule="auto"/>
        <w:jc w:val="center"/>
        <w:outlineLvl w:val="1"/>
        <w:rPr>
          <w:rFonts w:ascii="宋体" w:hAnsi="宋体" w:eastAsia="宋体"/>
          <w:b/>
          <w:sz w:val="24"/>
        </w:rPr>
      </w:pPr>
      <w:r>
        <w:rPr>
          <w:rFonts w:ascii="宋体" w:hAnsi="宋体" w:eastAsia="宋体"/>
          <w:sz w:val="24"/>
        </w:rPr>
        <w:br w:type="page"/>
      </w:r>
      <w:bookmarkStart w:id="257" w:name="_Toc331685784"/>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257"/>
    </w:p>
    <w:p w14:paraId="51C68A7A">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2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40CCA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606545B1">
            <w:pPr>
              <w:jc w:val="center"/>
              <w:rPr>
                <w:rFonts w:ascii="宋体" w:hAnsi="宋体" w:eastAsia="宋体"/>
                <w:b/>
                <w:sz w:val="24"/>
              </w:rPr>
            </w:pPr>
            <w:r>
              <w:rPr>
                <w:rFonts w:ascii="宋体" w:hAnsi="宋体" w:eastAsia="宋体"/>
                <w:b/>
                <w:sz w:val="24"/>
              </w:rPr>
              <w:t>条款号</w:t>
            </w:r>
          </w:p>
        </w:tc>
        <w:tc>
          <w:tcPr>
            <w:tcW w:w="4525" w:type="pct"/>
            <w:vAlign w:val="center"/>
          </w:tcPr>
          <w:p w14:paraId="399F1E52">
            <w:pPr>
              <w:jc w:val="center"/>
              <w:rPr>
                <w:rFonts w:ascii="宋体" w:hAnsi="宋体" w:eastAsia="宋体"/>
                <w:b/>
                <w:sz w:val="24"/>
              </w:rPr>
            </w:pPr>
            <w:r>
              <w:rPr>
                <w:rFonts w:ascii="宋体" w:hAnsi="宋体" w:eastAsia="宋体"/>
                <w:b/>
                <w:sz w:val="24"/>
              </w:rPr>
              <w:t>约定内容</w:t>
            </w:r>
          </w:p>
        </w:tc>
      </w:tr>
      <w:tr w14:paraId="77EED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6F736392">
            <w:pPr>
              <w:spacing w:line="560" w:lineRule="exact"/>
              <w:rPr>
                <w:rFonts w:ascii="宋体" w:hAnsi="宋体" w:eastAsia="宋体"/>
                <w:sz w:val="24"/>
              </w:rPr>
            </w:pPr>
          </w:p>
        </w:tc>
        <w:tc>
          <w:tcPr>
            <w:tcW w:w="4525" w:type="pct"/>
            <w:vAlign w:val="center"/>
          </w:tcPr>
          <w:p w14:paraId="6646C7D0">
            <w:pPr>
              <w:spacing w:line="560" w:lineRule="exact"/>
              <w:rPr>
                <w:rFonts w:ascii="宋体" w:hAnsi="宋体" w:eastAsia="宋体"/>
                <w:sz w:val="24"/>
              </w:rPr>
            </w:pPr>
          </w:p>
        </w:tc>
      </w:tr>
      <w:tr w14:paraId="66D71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214ADA5">
            <w:pPr>
              <w:spacing w:line="560" w:lineRule="exact"/>
              <w:rPr>
                <w:rFonts w:ascii="宋体" w:hAnsi="宋体" w:eastAsia="宋体"/>
                <w:sz w:val="24"/>
              </w:rPr>
            </w:pPr>
          </w:p>
        </w:tc>
        <w:tc>
          <w:tcPr>
            <w:tcW w:w="4525" w:type="pct"/>
            <w:vAlign w:val="center"/>
          </w:tcPr>
          <w:p w14:paraId="33CBA4FA">
            <w:pPr>
              <w:spacing w:line="560" w:lineRule="exact"/>
              <w:rPr>
                <w:rFonts w:ascii="宋体" w:hAnsi="宋体" w:eastAsia="宋体"/>
                <w:sz w:val="24"/>
              </w:rPr>
            </w:pPr>
          </w:p>
        </w:tc>
      </w:tr>
      <w:tr w14:paraId="586AE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74ECD0C">
            <w:pPr>
              <w:spacing w:line="560" w:lineRule="exact"/>
              <w:rPr>
                <w:rFonts w:ascii="宋体" w:hAnsi="宋体" w:eastAsia="宋体"/>
                <w:sz w:val="24"/>
              </w:rPr>
            </w:pPr>
          </w:p>
        </w:tc>
        <w:tc>
          <w:tcPr>
            <w:tcW w:w="4525" w:type="pct"/>
            <w:vAlign w:val="center"/>
          </w:tcPr>
          <w:p w14:paraId="702BDE2C">
            <w:pPr>
              <w:spacing w:line="560" w:lineRule="exact"/>
              <w:rPr>
                <w:rFonts w:ascii="宋体" w:hAnsi="宋体" w:eastAsia="宋体"/>
                <w:sz w:val="24"/>
              </w:rPr>
            </w:pPr>
          </w:p>
        </w:tc>
      </w:tr>
      <w:tr w14:paraId="5B767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20909A4">
            <w:pPr>
              <w:spacing w:line="560" w:lineRule="exact"/>
              <w:rPr>
                <w:rFonts w:ascii="宋体" w:hAnsi="宋体" w:eastAsia="宋体"/>
                <w:sz w:val="24"/>
              </w:rPr>
            </w:pPr>
          </w:p>
        </w:tc>
        <w:tc>
          <w:tcPr>
            <w:tcW w:w="4525" w:type="pct"/>
            <w:vAlign w:val="center"/>
          </w:tcPr>
          <w:p w14:paraId="645FCB51">
            <w:pPr>
              <w:spacing w:line="560" w:lineRule="exact"/>
              <w:rPr>
                <w:rFonts w:ascii="宋体" w:hAnsi="宋体" w:eastAsia="宋体"/>
                <w:sz w:val="24"/>
              </w:rPr>
            </w:pPr>
          </w:p>
        </w:tc>
      </w:tr>
      <w:tr w14:paraId="37423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4F8D406">
            <w:pPr>
              <w:spacing w:line="560" w:lineRule="exact"/>
              <w:rPr>
                <w:rFonts w:ascii="宋体" w:hAnsi="宋体" w:eastAsia="宋体"/>
                <w:sz w:val="24"/>
              </w:rPr>
            </w:pPr>
          </w:p>
        </w:tc>
        <w:tc>
          <w:tcPr>
            <w:tcW w:w="4525" w:type="pct"/>
            <w:vAlign w:val="center"/>
          </w:tcPr>
          <w:p w14:paraId="254C1B64">
            <w:pPr>
              <w:spacing w:line="560" w:lineRule="exact"/>
              <w:rPr>
                <w:rFonts w:ascii="宋体" w:hAnsi="宋体" w:eastAsia="宋体"/>
                <w:sz w:val="24"/>
                <w:u w:val="single"/>
              </w:rPr>
            </w:pPr>
          </w:p>
        </w:tc>
      </w:tr>
      <w:tr w14:paraId="63E42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C24F297">
            <w:pPr>
              <w:spacing w:line="560" w:lineRule="exact"/>
              <w:rPr>
                <w:rFonts w:ascii="宋体" w:hAnsi="宋体" w:eastAsia="宋体"/>
                <w:sz w:val="24"/>
              </w:rPr>
            </w:pPr>
          </w:p>
        </w:tc>
        <w:tc>
          <w:tcPr>
            <w:tcW w:w="4525" w:type="pct"/>
            <w:vAlign w:val="center"/>
          </w:tcPr>
          <w:p w14:paraId="384DDAA9">
            <w:pPr>
              <w:spacing w:line="560" w:lineRule="exact"/>
              <w:rPr>
                <w:rFonts w:ascii="宋体" w:hAnsi="宋体" w:eastAsia="宋体"/>
                <w:sz w:val="24"/>
              </w:rPr>
            </w:pPr>
          </w:p>
        </w:tc>
      </w:tr>
      <w:tr w14:paraId="2E5AC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FAF4E67">
            <w:pPr>
              <w:spacing w:line="560" w:lineRule="exact"/>
              <w:rPr>
                <w:rFonts w:ascii="宋体" w:hAnsi="宋体" w:eastAsia="宋体"/>
                <w:sz w:val="24"/>
              </w:rPr>
            </w:pPr>
          </w:p>
        </w:tc>
        <w:tc>
          <w:tcPr>
            <w:tcW w:w="4525" w:type="pct"/>
            <w:vAlign w:val="center"/>
          </w:tcPr>
          <w:p w14:paraId="73A98380">
            <w:pPr>
              <w:spacing w:line="560" w:lineRule="exact"/>
              <w:rPr>
                <w:rFonts w:ascii="宋体" w:hAnsi="宋体" w:eastAsia="宋体"/>
                <w:sz w:val="24"/>
                <w:u w:val="single"/>
              </w:rPr>
            </w:pPr>
          </w:p>
        </w:tc>
      </w:tr>
      <w:tr w14:paraId="64568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6B633D0">
            <w:pPr>
              <w:spacing w:line="560" w:lineRule="exact"/>
              <w:rPr>
                <w:rFonts w:ascii="宋体" w:hAnsi="宋体" w:eastAsia="宋体"/>
                <w:sz w:val="24"/>
              </w:rPr>
            </w:pPr>
          </w:p>
        </w:tc>
        <w:tc>
          <w:tcPr>
            <w:tcW w:w="4525" w:type="pct"/>
            <w:vAlign w:val="center"/>
          </w:tcPr>
          <w:p w14:paraId="676172AE">
            <w:pPr>
              <w:spacing w:line="560" w:lineRule="exact"/>
              <w:rPr>
                <w:rFonts w:ascii="宋体" w:hAnsi="宋体" w:eastAsia="宋体"/>
                <w:sz w:val="24"/>
              </w:rPr>
            </w:pPr>
          </w:p>
        </w:tc>
      </w:tr>
      <w:tr w14:paraId="50016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CAA013E">
            <w:pPr>
              <w:spacing w:line="560" w:lineRule="exact"/>
              <w:rPr>
                <w:rFonts w:ascii="宋体" w:hAnsi="宋体" w:eastAsia="宋体"/>
                <w:sz w:val="24"/>
              </w:rPr>
            </w:pPr>
          </w:p>
        </w:tc>
        <w:tc>
          <w:tcPr>
            <w:tcW w:w="4525" w:type="pct"/>
            <w:vAlign w:val="center"/>
          </w:tcPr>
          <w:p w14:paraId="54ACE6E8">
            <w:pPr>
              <w:spacing w:line="560" w:lineRule="exact"/>
              <w:rPr>
                <w:rFonts w:ascii="宋体" w:hAnsi="宋体" w:eastAsia="宋体"/>
                <w:sz w:val="24"/>
              </w:rPr>
            </w:pPr>
          </w:p>
        </w:tc>
      </w:tr>
      <w:tr w14:paraId="6F4D7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DE1516B">
            <w:pPr>
              <w:spacing w:line="560" w:lineRule="exact"/>
              <w:rPr>
                <w:rFonts w:ascii="宋体" w:hAnsi="宋体" w:eastAsia="宋体"/>
                <w:sz w:val="24"/>
              </w:rPr>
            </w:pPr>
          </w:p>
        </w:tc>
        <w:tc>
          <w:tcPr>
            <w:tcW w:w="4525" w:type="pct"/>
            <w:vAlign w:val="center"/>
          </w:tcPr>
          <w:p w14:paraId="5A3396FE">
            <w:pPr>
              <w:spacing w:line="560" w:lineRule="exact"/>
              <w:rPr>
                <w:rFonts w:ascii="宋体" w:hAnsi="宋体" w:eastAsia="宋体"/>
                <w:sz w:val="24"/>
              </w:rPr>
            </w:pPr>
          </w:p>
        </w:tc>
      </w:tr>
      <w:tr w14:paraId="38B3B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21CA4011">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4AD4152F">
            <w:pPr>
              <w:spacing w:line="560" w:lineRule="exact"/>
              <w:rPr>
                <w:rFonts w:ascii="宋体" w:hAnsi="宋体" w:eastAsia="宋体"/>
                <w:sz w:val="24"/>
              </w:rPr>
            </w:pPr>
          </w:p>
        </w:tc>
      </w:tr>
      <w:tr w14:paraId="5FFA1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0F00444A">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4B9BD491">
            <w:pPr>
              <w:spacing w:line="560" w:lineRule="exact"/>
              <w:rPr>
                <w:rFonts w:ascii="宋体" w:hAnsi="宋体" w:eastAsia="宋体"/>
                <w:sz w:val="24"/>
              </w:rPr>
            </w:pPr>
          </w:p>
        </w:tc>
      </w:tr>
    </w:tbl>
    <w:p w14:paraId="6C1DCBBF">
      <w:pPr>
        <w:spacing w:line="360" w:lineRule="auto"/>
        <w:rPr>
          <w:rFonts w:asciiTheme="minorEastAsia" w:hAnsiTheme="minorEastAsia" w:eastAsiaTheme="minorEastAsia" w:cstheme="minorEastAsia"/>
          <w:sz w:val="28"/>
          <w:szCs w:val="27"/>
        </w:rPr>
      </w:pPr>
      <w:r>
        <w:rPr>
          <w:rFonts w:hint="eastAsia" w:asciiTheme="minorEastAsia" w:hAnsiTheme="minorEastAsia" w:eastAsiaTheme="minorEastAsia" w:cstheme="minorEastAsia"/>
          <w:sz w:val="28"/>
          <w:szCs w:val="27"/>
        </w:rPr>
        <w:br w:type="page"/>
      </w:r>
    </w:p>
    <w:p w14:paraId="6BD98B44">
      <w:pPr>
        <w:spacing w:line="360" w:lineRule="auto"/>
        <w:jc w:val="center"/>
        <w:outlineLvl w:val="0"/>
        <w:rPr>
          <w:rFonts w:asciiTheme="minorEastAsia" w:hAnsiTheme="minorEastAsia" w:eastAsiaTheme="minorEastAsia"/>
          <w:b/>
          <w:sz w:val="28"/>
        </w:rPr>
      </w:pPr>
      <w:bookmarkStart w:id="258" w:name="_Toc2192"/>
      <w:r>
        <w:rPr>
          <w:rFonts w:hint="eastAsia" w:asciiTheme="minorEastAsia" w:hAnsiTheme="minorEastAsia" w:eastAsiaTheme="minorEastAsia"/>
          <w:b/>
          <w:sz w:val="28"/>
        </w:rPr>
        <w:t>第六章  响应文件格式</w:t>
      </w:r>
      <w:bookmarkEnd w:id="258"/>
    </w:p>
    <w:p w14:paraId="55C15AC3">
      <w:pPr>
        <w:spacing w:line="900" w:lineRule="exact"/>
        <w:jc w:val="center"/>
        <w:rPr>
          <w:rFonts w:asciiTheme="minorEastAsia" w:hAnsiTheme="minorEastAsia" w:eastAsiaTheme="minorEastAsia"/>
          <w:b/>
          <w:sz w:val="72"/>
        </w:rPr>
      </w:pPr>
    </w:p>
    <w:p w14:paraId="0EE6B73D">
      <w:pPr>
        <w:rPr>
          <w:rFonts w:ascii="宋体" w:hAnsi="宋体" w:cs="宋体"/>
          <w:b/>
          <w:sz w:val="24"/>
          <w:szCs w:val="24"/>
        </w:rPr>
      </w:pPr>
      <w:bookmarkStart w:id="259" w:name="_Toc63440932"/>
      <w:bookmarkStart w:id="260" w:name="_Toc11841"/>
    </w:p>
    <w:p w14:paraId="051BFFC3">
      <w:pPr>
        <w:jc w:val="center"/>
        <w:outlineLvl w:val="1"/>
        <w:rPr>
          <w:rFonts w:ascii="宋体" w:hAnsi="宋体" w:eastAsia="仿宋" w:cs="宋体"/>
          <w:bCs/>
          <w:sz w:val="44"/>
          <w:szCs w:val="44"/>
        </w:rPr>
      </w:pPr>
      <w:bookmarkStart w:id="261" w:name="_Toc3534"/>
      <w:bookmarkStart w:id="262" w:name="_Toc1303"/>
      <w:bookmarkStart w:id="263" w:name="_Toc1509"/>
      <w:bookmarkStart w:id="264" w:name="_Toc32300"/>
      <w:bookmarkStart w:id="265" w:name="_Toc14005"/>
      <w:r>
        <w:rPr>
          <w:rFonts w:hint="eastAsia" w:ascii="宋体" w:hAnsi="宋体" w:eastAsia="仿宋" w:cs="宋体"/>
          <w:bCs/>
          <w:sz w:val="44"/>
          <w:szCs w:val="44"/>
        </w:rPr>
        <w:t>资格证明响应文件</w:t>
      </w:r>
      <w:bookmarkEnd w:id="261"/>
      <w:bookmarkEnd w:id="262"/>
      <w:bookmarkEnd w:id="263"/>
      <w:bookmarkEnd w:id="264"/>
      <w:bookmarkEnd w:id="265"/>
    </w:p>
    <w:p w14:paraId="722C62A9">
      <w:pPr>
        <w:jc w:val="center"/>
        <w:rPr>
          <w:rFonts w:ascii="宋体" w:hAnsi="宋体" w:eastAsia="仿宋" w:cs="宋体"/>
          <w:bCs/>
          <w:sz w:val="28"/>
          <w:szCs w:val="28"/>
        </w:rPr>
      </w:pPr>
      <w:bookmarkStart w:id="266" w:name="_Toc1854"/>
      <w:bookmarkStart w:id="267" w:name="_Toc29089"/>
      <w:r>
        <w:rPr>
          <w:rFonts w:hint="eastAsia" w:ascii="宋体" w:hAnsi="宋体" w:eastAsia="仿宋" w:cs="宋体"/>
          <w:bCs/>
          <w:sz w:val="28"/>
          <w:szCs w:val="28"/>
        </w:rPr>
        <w:t>（响应文件一）</w:t>
      </w:r>
      <w:bookmarkEnd w:id="266"/>
      <w:bookmarkEnd w:id="267"/>
    </w:p>
    <w:p w14:paraId="44FDE913">
      <w:pPr>
        <w:jc w:val="center"/>
        <w:rPr>
          <w:rFonts w:ascii="宋体" w:hAnsi="宋体" w:eastAsia="仿宋" w:cs="宋体"/>
          <w:bCs/>
          <w:sz w:val="28"/>
          <w:szCs w:val="28"/>
        </w:rPr>
      </w:pPr>
    </w:p>
    <w:p w14:paraId="16105B76">
      <w:pPr>
        <w:jc w:val="center"/>
        <w:rPr>
          <w:rFonts w:ascii="宋体" w:hAnsi="宋体" w:eastAsia="仿宋" w:cs="宋体"/>
          <w:bCs/>
          <w:sz w:val="28"/>
          <w:szCs w:val="28"/>
        </w:rPr>
      </w:pPr>
      <w:r>
        <w:rPr>
          <w:rFonts w:hint="eastAsia" w:ascii="宋体" w:hAnsi="宋体" w:eastAsia="仿宋" w:cs="宋体"/>
          <w:bCs/>
          <w:sz w:val="28"/>
          <w:szCs w:val="28"/>
          <w:u w:val="single"/>
        </w:rPr>
        <w:t xml:space="preserve">                 </w:t>
      </w:r>
      <w:bookmarkStart w:id="268" w:name="_Toc18692"/>
      <w:bookmarkStart w:id="269" w:name="_Toc12389"/>
      <w:r>
        <w:rPr>
          <w:rFonts w:hint="eastAsia" w:ascii="宋体" w:hAnsi="宋体" w:eastAsia="仿宋" w:cs="宋体"/>
          <w:bCs/>
          <w:sz w:val="28"/>
          <w:szCs w:val="28"/>
        </w:rPr>
        <w:t>项目名称</w:t>
      </w:r>
      <w:bookmarkEnd w:id="268"/>
      <w:bookmarkEnd w:id="269"/>
    </w:p>
    <w:p w14:paraId="76EEB67B">
      <w:pPr>
        <w:jc w:val="center"/>
        <w:rPr>
          <w:rFonts w:ascii="宋体" w:hAnsi="宋体" w:eastAsia="仿宋" w:cs="宋体"/>
          <w:bCs/>
          <w:sz w:val="28"/>
          <w:szCs w:val="28"/>
        </w:rPr>
      </w:pPr>
      <w:bookmarkStart w:id="270" w:name="_Toc27160"/>
      <w:bookmarkStart w:id="271" w:name="_Toc31243"/>
      <w:r>
        <w:rPr>
          <w:rFonts w:hint="eastAsia" w:ascii="宋体" w:hAnsi="宋体" w:eastAsia="仿宋" w:cs="宋体"/>
          <w:bCs/>
          <w:sz w:val="28"/>
          <w:szCs w:val="28"/>
        </w:rPr>
        <w:t>项目编号</w:t>
      </w:r>
      <w:bookmarkEnd w:id="270"/>
      <w:bookmarkEnd w:id="271"/>
      <w:r>
        <w:rPr>
          <w:rFonts w:hint="eastAsia" w:ascii="宋体" w:hAnsi="宋体" w:eastAsia="仿宋" w:cs="宋体"/>
          <w:bCs/>
          <w:sz w:val="28"/>
          <w:szCs w:val="28"/>
          <w:u w:val="single"/>
        </w:rPr>
        <w:t xml:space="preserve">     </w:t>
      </w:r>
    </w:p>
    <w:p w14:paraId="01B4070F">
      <w:pPr>
        <w:rPr>
          <w:rFonts w:ascii="宋体" w:hAnsi="宋体" w:eastAsia="仿宋" w:cs="宋体"/>
          <w:bCs/>
          <w:sz w:val="24"/>
          <w:szCs w:val="24"/>
        </w:rPr>
      </w:pPr>
    </w:p>
    <w:p w14:paraId="7F0F1EC7">
      <w:pPr>
        <w:rPr>
          <w:rFonts w:ascii="宋体" w:hAnsi="宋体" w:eastAsia="仿宋" w:cs="宋体"/>
          <w:bCs/>
          <w:sz w:val="24"/>
          <w:szCs w:val="24"/>
        </w:rPr>
      </w:pPr>
    </w:p>
    <w:p w14:paraId="3E8E471C">
      <w:pPr>
        <w:rPr>
          <w:rFonts w:ascii="宋体" w:hAnsi="宋体" w:eastAsia="仿宋" w:cs="宋体"/>
          <w:bCs/>
          <w:sz w:val="24"/>
          <w:szCs w:val="24"/>
        </w:rPr>
      </w:pPr>
    </w:p>
    <w:p w14:paraId="6462C9DC">
      <w:pPr>
        <w:rPr>
          <w:rFonts w:ascii="宋体" w:hAnsi="宋体" w:eastAsia="仿宋" w:cs="宋体"/>
          <w:bCs/>
          <w:sz w:val="24"/>
          <w:szCs w:val="24"/>
        </w:rPr>
      </w:pPr>
    </w:p>
    <w:p w14:paraId="3EBBADFA">
      <w:pPr>
        <w:rPr>
          <w:rFonts w:ascii="宋体" w:hAnsi="宋体" w:eastAsia="仿宋" w:cs="宋体"/>
          <w:bCs/>
          <w:sz w:val="24"/>
          <w:szCs w:val="24"/>
        </w:rPr>
      </w:pPr>
    </w:p>
    <w:p w14:paraId="37BCA21D">
      <w:pPr>
        <w:rPr>
          <w:rFonts w:ascii="宋体" w:hAnsi="宋体" w:eastAsia="仿宋" w:cs="宋体"/>
          <w:bCs/>
          <w:sz w:val="24"/>
          <w:szCs w:val="24"/>
        </w:rPr>
      </w:pPr>
    </w:p>
    <w:p w14:paraId="56C3A328">
      <w:pPr>
        <w:rPr>
          <w:rFonts w:ascii="宋体" w:hAnsi="宋体" w:eastAsia="仿宋" w:cs="宋体"/>
          <w:bCs/>
          <w:sz w:val="24"/>
          <w:szCs w:val="24"/>
        </w:rPr>
      </w:pPr>
    </w:p>
    <w:p w14:paraId="5F29E7EE">
      <w:pPr>
        <w:rPr>
          <w:rFonts w:ascii="宋体" w:hAnsi="宋体" w:eastAsia="仿宋" w:cs="宋体"/>
          <w:bCs/>
          <w:sz w:val="24"/>
          <w:szCs w:val="24"/>
        </w:rPr>
      </w:pPr>
    </w:p>
    <w:p w14:paraId="0A7301BC">
      <w:pPr>
        <w:rPr>
          <w:rFonts w:ascii="宋体" w:hAnsi="宋体" w:eastAsia="仿宋" w:cs="宋体"/>
          <w:bCs/>
          <w:sz w:val="24"/>
          <w:szCs w:val="24"/>
        </w:rPr>
      </w:pPr>
    </w:p>
    <w:p w14:paraId="74DFB4D2">
      <w:pPr>
        <w:rPr>
          <w:rFonts w:ascii="宋体" w:hAnsi="宋体" w:eastAsia="仿宋" w:cs="宋体"/>
          <w:bCs/>
          <w:sz w:val="24"/>
          <w:szCs w:val="24"/>
        </w:rPr>
      </w:pPr>
    </w:p>
    <w:p w14:paraId="3E58C495">
      <w:pPr>
        <w:rPr>
          <w:rFonts w:ascii="宋体" w:hAnsi="宋体" w:eastAsia="仿宋" w:cs="宋体"/>
          <w:bCs/>
          <w:sz w:val="24"/>
          <w:szCs w:val="24"/>
        </w:rPr>
      </w:pPr>
    </w:p>
    <w:p w14:paraId="79A19D3A">
      <w:pPr>
        <w:spacing w:line="360" w:lineRule="auto"/>
        <w:rPr>
          <w:rFonts w:ascii="宋体" w:hAnsi="宋体" w:eastAsia="仿宋" w:cs="宋体"/>
          <w:bCs/>
          <w:sz w:val="28"/>
          <w:szCs w:val="28"/>
        </w:rPr>
      </w:pPr>
    </w:p>
    <w:p w14:paraId="5BDE82B6">
      <w:pPr>
        <w:pStyle w:val="27"/>
        <w:ind w:firstLine="560"/>
        <w:rPr>
          <w:rFonts w:ascii="宋体" w:hAnsi="宋体" w:eastAsia="仿宋" w:cs="宋体"/>
          <w:bCs/>
          <w:sz w:val="28"/>
          <w:szCs w:val="28"/>
        </w:rPr>
      </w:pPr>
    </w:p>
    <w:p w14:paraId="69A162BD">
      <w:pPr>
        <w:rPr>
          <w:rFonts w:eastAsia="仿宋"/>
        </w:rPr>
      </w:pPr>
    </w:p>
    <w:p w14:paraId="342B3E4F">
      <w:pPr>
        <w:spacing w:line="360" w:lineRule="auto"/>
        <w:jc w:val="center"/>
        <w:rPr>
          <w:rFonts w:ascii="宋体" w:hAnsi="宋体" w:eastAsia="仿宋" w:cs="宋体"/>
          <w:bCs/>
          <w:sz w:val="28"/>
          <w:szCs w:val="28"/>
          <w:u w:val="single"/>
        </w:rPr>
      </w:pPr>
      <w:bookmarkStart w:id="272" w:name="_Toc27793"/>
      <w:bookmarkStart w:id="273" w:name="_Toc19766"/>
      <w:r>
        <w:rPr>
          <w:rFonts w:hint="eastAsia" w:ascii="宋体" w:hAnsi="宋体" w:eastAsia="仿宋" w:cs="宋体"/>
          <w:bCs/>
          <w:sz w:val="28"/>
          <w:szCs w:val="28"/>
        </w:rPr>
        <w:t>供应商：</w:t>
      </w:r>
      <w:r>
        <w:rPr>
          <w:rFonts w:hint="eastAsia" w:ascii="宋体" w:hAnsi="宋体" w:eastAsia="仿宋" w:cs="宋体"/>
          <w:bCs/>
          <w:sz w:val="28"/>
          <w:szCs w:val="28"/>
          <w:u w:val="single"/>
        </w:rPr>
        <w:t xml:space="preserve">                               </w:t>
      </w:r>
      <w:r>
        <w:rPr>
          <w:rFonts w:hint="eastAsia" w:ascii="宋体" w:hAnsi="宋体" w:eastAsia="仿宋" w:cs="宋体"/>
          <w:bCs/>
          <w:sz w:val="28"/>
          <w:szCs w:val="28"/>
        </w:rPr>
        <w:t>（签章）</w:t>
      </w:r>
      <w:bookmarkEnd w:id="272"/>
      <w:bookmarkEnd w:id="273"/>
    </w:p>
    <w:p w14:paraId="3F3D6FD6">
      <w:pPr>
        <w:spacing w:line="360" w:lineRule="auto"/>
        <w:jc w:val="center"/>
        <w:rPr>
          <w:rFonts w:ascii="宋体" w:hAnsi="宋体" w:eastAsia="仿宋" w:cs="宋体"/>
          <w:bCs/>
          <w:sz w:val="28"/>
          <w:szCs w:val="28"/>
        </w:rPr>
      </w:pPr>
      <w:bookmarkStart w:id="274" w:name="_Toc9255"/>
      <w:bookmarkStart w:id="275" w:name="_Toc17049"/>
      <w:r>
        <w:rPr>
          <w:rFonts w:hint="eastAsia" w:ascii="宋体" w:hAnsi="宋体" w:eastAsia="仿宋" w:cs="宋体"/>
          <w:bCs/>
          <w:sz w:val="28"/>
          <w:szCs w:val="28"/>
        </w:rPr>
        <w:t>法定代表人：</w:t>
      </w:r>
      <w:r>
        <w:rPr>
          <w:rFonts w:hint="eastAsia" w:ascii="宋体" w:hAnsi="宋体" w:eastAsia="仿宋" w:cs="宋体"/>
          <w:bCs/>
          <w:sz w:val="28"/>
          <w:szCs w:val="28"/>
          <w:u w:val="single"/>
        </w:rPr>
        <w:t xml:space="preserve">                  </w:t>
      </w:r>
      <w:r>
        <w:rPr>
          <w:rFonts w:hint="eastAsia" w:ascii="宋体" w:hAnsi="宋体" w:eastAsia="仿宋" w:cs="宋体"/>
          <w:bCs/>
          <w:sz w:val="28"/>
          <w:szCs w:val="28"/>
        </w:rPr>
        <w:t>（签章）</w:t>
      </w:r>
      <w:bookmarkEnd w:id="274"/>
      <w:bookmarkEnd w:id="275"/>
    </w:p>
    <w:p w14:paraId="76442BD2">
      <w:pPr>
        <w:spacing w:line="360" w:lineRule="auto"/>
        <w:jc w:val="center"/>
        <w:rPr>
          <w:rFonts w:ascii="宋体" w:hAnsi="宋体" w:eastAsia="仿宋" w:cs="宋体"/>
          <w:bCs/>
          <w:sz w:val="28"/>
          <w:szCs w:val="28"/>
        </w:rPr>
      </w:pPr>
      <w:r>
        <w:rPr>
          <w:rFonts w:hint="eastAsia" w:ascii="宋体" w:hAnsi="宋体" w:eastAsia="仿宋" w:cs="宋体"/>
          <w:bCs/>
          <w:sz w:val="28"/>
          <w:szCs w:val="28"/>
          <w:u w:val="single"/>
        </w:rPr>
        <w:t xml:space="preserve">        </w:t>
      </w:r>
      <w:bookmarkStart w:id="276" w:name="_Toc15461"/>
      <w:bookmarkStart w:id="277" w:name="_Toc19368"/>
      <w:r>
        <w:rPr>
          <w:rFonts w:hint="eastAsia" w:ascii="宋体" w:hAnsi="宋体" w:eastAsia="仿宋" w:cs="宋体"/>
          <w:bCs/>
          <w:sz w:val="28"/>
          <w:szCs w:val="28"/>
        </w:rPr>
        <w:t>年</w:t>
      </w:r>
      <w:r>
        <w:rPr>
          <w:rFonts w:hint="eastAsia" w:ascii="宋体" w:hAnsi="宋体" w:eastAsia="仿宋" w:cs="宋体"/>
          <w:bCs/>
          <w:sz w:val="28"/>
          <w:szCs w:val="28"/>
          <w:u w:val="single"/>
        </w:rPr>
        <w:t xml:space="preserve">        </w:t>
      </w:r>
      <w:r>
        <w:rPr>
          <w:rFonts w:hint="eastAsia" w:ascii="宋体" w:hAnsi="宋体" w:eastAsia="仿宋" w:cs="宋体"/>
          <w:bCs/>
          <w:sz w:val="28"/>
          <w:szCs w:val="28"/>
        </w:rPr>
        <w:t>月</w:t>
      </w:r>
      <w:r>
        <w:rPr>
          <w:rFonts w:hint="eastAsia" w:ascii="宋体" w:hAnsi="宋体" w:eastAsia="仿宋" w:cs="宋体"/>
          <w:bCs/>
          <w:sz w:val="28"/>
          <w:szCs w:val="28"/>
          <w:u w:val="single"/>
        </w:rPr>
        <w:t xml:space="preserve">        </w:t>
      </w:r>
      <w:r>
        <w:rPr>
          <w:rFonts w:hint="eastAsia" w:ascii="宋体" w:hAnsi="宋体" w:eastAsia="仿宋" w:cs="宋体"/>
          <w:bCs/>
          <w:sz w:val="28"/>
          <w:szCs w:val="28"/>
        </w:rPr>
        <w:t>日</w:t>
      </w:r>
      <w:bookmarkEnd w:id="276"/>
      <w:bookmarkEnd w:id="277"/>
    </w:p>
    <w:p w14:paraId="1EB1DDE3">
      <w:pPr>
        <w:spacing w:line="720" w:lineRule="auto"/>
        <w:jc w:val="center"/>
        <w:rPr>
          <w:rFonts w:ascii="宋体" w:hAnsi="宋体" w:cs="宋体"/>
          <w:b/>
          <w:sz w:val="24"/>
          <w:szCs w:val="24"/>
        </w:rPr>
      </w:pPr>
    </w:p>
    <w:p w14:paraId="30C5731E">
      <w:pPr>
        <w:pageBreakBefore/>
        <w:ind w:firstLine="4216" w:firstLineChars="1400"/>
        <w:rPr>
          <w:rFonts w:ascii="宋体" w:hAnsi="宋体" w:eastAsia="仿宋_GB2312" w:cs="宋体"/>
          <w:b/>
          <w:sz w:val="30"/>
          <w:szCs w:val="30"/>
        </w:rPr>
      </w:pPr>
      <w:bookmarkStart w:id="278" w:name="_Toc3397"/>
      <w:bookmarkStart w:id="279" w:name="_Toc2203"/>
      <w:r>
        <w:rPr>
          <w:rFonts w:hint="eastAsia" w:ascii="宋体" w:hAnsi="宋体" w:eastAsia="仿宋_GB2312" w:cs="宋体"/>
          <w:b/>
          <w:sz w:val="30"/>
          <w:szCs w:val="30"/>
        </w:rPr>
        <w:t>目   录</w:t>
      </w:r>
      <w:bookmarkEnd w:id="278"/>
      <w:bookmarkEnd w:id="279"/>
    </w:p>
    <w:p w14:paraId="67006049">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（1）</w:t>
      </w:r>
      <w:r>
        <w:rPr>
          <w:rFonts w:ascii="宋体" w:hAnsi="宋体" w:eastAsia="宋体" w:cs="宋体"/>
          <w:spacing w:val="9"/>
          <w:sz w:val="24"/>
          <w:szCs w:val="24"/>
        </w:rPr>
        <w:t>营业执照等证明</w:t>
      </w:r>
      <w:r>
        <w:rPr>
          <w:rFonts w:ascii="宋体" w:hAnsi="宋体" w:eastAsia="宋体" w:cs="宋体"/>
          <w:spacing w:val="-3"/>
          <w:sz w:val="24"/>
          <w:szCs w:val="24"/>
        </w:rPr>
        <w:t>文件</w:t>
      </w:r>
      <w:r>
        <w:rPr>
          <w:rFonts w:hint="eastAsia" w:ascii="宋体" w:hAnsi="宋体" w:eastAsia="宋体" w:cs="宋体"/>
          <w:bCs/>
          <w:szCs w:val="21"/>
        </w:rPr>
        <w:t>；</w:t>
      </w:r>
    </w:p>
    <w:p w14:paraId="3CE33774">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（2）</w:t>
      </w:r>
      <w:r>
        <w:rPr>
          <w:rFonts w:hint="eastAsia" w:ascii="宋体" w:hAnsi="宋体" w:eastAsia="宋体"/>
          <w:sz w:val="24"/>
          <w:szCs w:val="18"/>
        </w:rPr>
        <w:t>供应商资格声明书</w:t>
      </w:r>
      <w:r>
        <w:rPr>
          <w:rFonts w:hint="eastAsia" w:ascii="宋体" w:hAnsi="宋体" w:eastAsia="宋体" w:cs="宋体"/>
          <w:bCs/>
          <w:szCs w:val="21"/>
        </w:rPr>
        <w:t>；</w:t>
      </w:r>
    </w:p>
    <w:p w14:paraId="17A1572D">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（3）</w:t>
      </w:r>
      <w:r>
        <w:rPr>
          <w:rFonts w:hint="eastAsia" w:asciiTheme="minorEastAsia" w:hAnsiTheme="minorEastAsia" w:eastAsiaTheme="minorEastAsia"/>
          <w:sz w:val="24"/>
          <w:szCs w:val="28"/>
        </w:rPr>
        <w:t>磋商响应函；</w:t>
      </w:r>
    </w:p>
    <w:p w14:paraId="7C7727BD">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（4）</w:t>
      </w:r>
      <w:r>
        <w:rPr>
          <w:rFonts w:hint="eastAsia" w:asciiTheme="minorEastAsia" w:hAnsiTheme="minorEastAsia" w:eastAsiaTheme="minorEastAsia"/>
          <w:sz w:val="24"/>
          <w:szCs w:val="28"/>
        </w:rPr>
        <w:t>授权书</w:t>
      </w:r>
      <w:r>
        <w:rPr>
          <w:rFonts w:hint="eastAsia" w:ascii="宋体" w:hAnsi="宋体" w:eastAsia="宋体" w:cs="宋体"/>
          <w:bCs/>
          <w:szCs w:val="21"/>
        </w:rPr>
        <w:t>；</w:t>
      </w:r>
    </w:p>
    <w:p w14:paraId="3C3A1DB1">
      <w:pPr>
        <w:spacing w:line="440" w:lineRule="exact"/>
        <w:ind w:firstLine="420" w:firstLineChars="200"/>
        <w:jc w:val="left"/>
        <w:rPr>
          <w:rFonts w:ascii="宋体" w:hAnsi="宋体" w:cs="宋体" w:eastAsiaTheme="minorEastAsia"/>
          <w:bCs/>
          <w:szCs w:val="21"/>
        </w:rPr>
      </w:pPr>
      <w:r>
        <w:rPr>
          <w:rFonts w:hint="eastAsia" w:ascii="宋体" w:hAnsi="宋体" w:eastAsia="宋体" w:cs="宋体"/>
          <w:bCs/>
          <w:szCs w:val="21"/>
        </w:rPr>
        <w:t>（5）</w:t>
      </w:r>
      <w:r>
        <w:rPr>
          <w:rFonts w:hint="eastAsia" w:asciiTheme="minorEastAsia" w:hAnsiTheme="minorEastAsia" w:eastAsiaTheme="minorEastAsia"/>
          <w:sz w:val="24"/>
          <w:szCs w:val="28"/>
        </w:rPr>
        <w:t>磋商报价；</w:t>
      </w:r>
    </w:p>
    <w:p w14:paraId="49A3CCA5">
      <w:pPr>
        <w:spacing w:line="440" w:lineRule="exact"/>
        <w:ind w:firstLine="420" w:firstLineChars="200"/>
        <w:jc w:val="left"/>
        <w:rPr>
          <w:rFonts w:ascii="宋体" w:hAnsi="宋体" w:cs="宋体" w:eastAsiaTheme="minorEastAsia"/>
          <w:bCs/>
          <w:szCs w:val="21"/>
        </w:rPr>
      </w:pPr>
      <w:r>
        <w:rPr>
          <w:rFonts w:hint="eastAsia" w:ascii="宋体" w:hAnsi="宋体" w:eastAsia="宋体" w:cs="宋体"/>
          <w:bCs/>
          <w:szCs w:val="21"/>
        </w:rPr>
        <w:t>（6）</w:t>
      </w:r>
      <w:r>
        <w:rPr>
          <w:rFonts w:hint="eastAsia" w:asciiTheme="minorEastAsia" w:hAnsiTheme="minorEastAsia" w:eastAsiaTheme="minorEastAsia"/>
          <w:sz w:val="24"/>
          <w:szCs w:val="28"/>
        </w:rPr>
        <w:t>商务响应情况；</w:t>
      </w:r>
    </w:p>
    <w:p w14:paraId="616137C7">
      <w:pPr>
        <w:spacing w:line="440" w:lineRule="exact"/>
        <w:ind w:firstLine="420" w:firstLineChars="200"/>
        <w:jc w:val="left"/>
        <w:rPr>
          <w:rFonts w:ascii="宋体" w:hAnsi="宋体" w:cs="宋体" w:eastAsiaTheme="minorEastAsia"/>
          <w:bCs/>
          <w:szCs w:val="21"/>
        </w:rPr>
      </w:pPr>
      <w:r>
        <w:rPr>
          <w:rFonts w:hint="eastAsia" w:ascii="宋体" w:hAnsi="宋体" w:eastAsia="宋体" w:cs="宋体"/>
          <w:bCs/>
          <w:szCs w:val="21"/>
        </w:rPr>
        <w:t>（7）</w:t>
      </w:r>
      <w:r>
        <w:rPr>
          <w:rFonts w:hint="eastAsia" w:asciiTheme="minorEastAsia" w:hAnsiTheme="minorEastAsia" w:eastAsiaTheme="minorEastAsia"/>
          <w:sz w:val="24"/>
          <w:szCs w:val="28"/>
        </w:rPr>
        <w:t>技术响应情况；</w:t>
      </w:r>
    </w:p>
    <w:p w14:paraId="01DD97F5">
      <w:pPr>
        <w:spacing w:line="440" w:lineRule="exact"/>
        <w:ind w:firstLine="420" w:firstLineChars="200"/>
        <w:jc w:val="left"/>
        <w:rPr>
          <w:rFonts w:ascii="宋体" w:hAnsi="宋体" w:cs="宋体" w:eastAsiaTheme="minorEastAsia"/>
          <w:bCs/>
          <w:szCs w:val="21"/>
        </w:rPr>
      </w:pPr>
      <w:r>
        <w:rPr>
          <w:rFonts w:hint="eastAsia" w:ascii="宋体" w:hAnsi="宋体" w:eastAsia="宋体" w:cs="宋体"/>
          <w:bCs/>
          <w:szCs w:val="21"/>
        </w:rPr>
        <w:t>（8）</w:t>
      </w:r>
      <w:r>
        <w:rPr>
          <w:rFonts w:hint="eastAsia" w:asciiTheme="minorEastAsia" w:hAnsiTheme="minorEastAsia" w:eastAsiaTheme="minorEastAsia"/>
          <w:sz w:val="24"/>
          <w:szCs w:val="28"/>
        </w:rPr>
        <w:t>其他要求（如有）；</w:t>
      </w:r>
    </w:p>
    <w:p w14:paraId="336D0980">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（9）资信评分标准要求提供的证明材料；</w:t>
      </w:r>
    </w:p>
    <w:p w14:paraId="732F67DF">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（10）供应商认为需要提供的其他证明材料。</w:t>
      </w:r>
    </w:p>
    <w:p w14:paraId="5A4D2E34">
      <w:pPr>
        <w:pStyle w:val="9"/>
        <w:spacing w:line="440" w:lineRule="exact"/>
      </w:pPr>
    </w:p>
    <w:p w14:paraId="49A49AAE">
      <w:pPr>
        <w:spacing w:line="440" w:lineRule="exact"/>
        <w:ind w:firstLine="420" w:firstLineChars="200"/>
        <w:jc w:val="left"/>
        <w:rPr>
          <w:rFonts w:ascii="宋体" w:hAnsi="宋体" w:cs="宋体"/>
          <w:bCs/>
          <w:szCs w:val="21"/>
        </w:rPr>
      </w:pPr>
    </w:p>
    <w:p w14:paraId="223498A6">
      <w:pPr>
        <w:spacing w:line="480" w:lineRule="auto"/>
        <w:rPr>
          <w:rFonts w:ascii="宋体" w:hAnsi="宋体" w:cs="宋体"/>
          <w:bCs/>
          <w:szCs w:val="21"/>
        </w:rPr>
      </w:pPr>
    </w:p>
    <w:p w14:paraId="28854CF8">
      <w:pPr>
        <w:pStyle w:val="27"/>
        <w:rPr>
          <w:rFonts w:ascii="宋体" w:hAnsi="宋体" w:cs="宋体"/>
          <w:bCs/>
          <w:szCs w:val="21"/>
        </w:rPr>
      </w:pPr>
    </w:p>
    <w:p w14:paraId="3771AF47">
      <w:pPr>
        <w:pStyle w:val="21"/>
        <w:rPr>
          <w:rFonts w:ascii="宋体" w:hAnsi="宋体" w:eastAsia="宋体" w:cs="宋体"/>
          <w:bCs/>
          <w:szCs w:val="21"/>
        </w:rPr>
      </w:pPr>
    </w:p>
    <w:p w14:paraId="5DCEC3F6">
      <w:pPr>
        <w:pStyle w:val="21"/>
        <w:rPr>
          <w:rFonts w:ascii="宋体" w:hAnsi="宋体" w:eastAsia="宋体" w:cs="宋体"/>
          <w:bCs/>
          <w:szCs w:val="21"/>
        </w:rPr>
      </w:pPr>
    </w:p>
    <w:p w14:paraId="4B17AB69">
      <w:pPr>
        <w:pStyle w:val="21"/>
        <w:rPr>
          <w:rFonts w:ascii="宋体" w:hAnsi="宋体" w:eastAsia="宋体" w:cs="宋体"/>
          <w:bCs/>
          <w:szCs w:val="21"/>
        </w:rPr>
      </w:pPr>
    </w:p>
    <w:p w14:paraId="11B7E2B0">
      <w:pPr>
        <w:pStyle w:val="21"/>
        <w:rPr>
          <w:rFonts w:ascii="宋体" w:hAnsi="宋体" w:eastAsia="宋体" w:cs="宋体"/>
          <w:bCs/>
          <w:szCs w:val="21"/>
        </w:rPr>
      </w:pPr>
    </w:p>
    <w:p w14:paraId="3E677805">
      <w:pPr>
        <w:pStyle w:val="21"/>
        <w:rPr>
          <w:rFonts w:ascii="宋体" w:hAnsi="宋体" w:eastAsia="宋体" w:cs="宋体"/>
          <w:bCs/>
          <w:szCs w:val="21"/>
        </w:rPr>
      </w:pPr>
    </w:p>
    <w:p w14:paraId="4F16D843">
      <w:pPr>
        <w:pStyle w:val="21"/>
        <w:rPr>
          <w:rFonts w:ascii="宋体" w:hAnsi="宋体" w:eastAsia="宋体" w:cs="宋体"/>
          <w:bCs/>
          <w:szCs w:val="21"/>
        </w:rPr>
      </w:pPr>
    </w:p>
    <w:p w14:paraId="4468F3A4">
      <w:pPr>
        <w:pStyle w:val="21"/>
        <w:rPr>
          <w:rFonts w:ascii="宋体" w:hAnsi="宋体" w:eastAsia="宋体" w:cs="宋体"/>
          <w:bCs/>
          <w:szCs w:val="21"/>
        </w:rPr>
      </w:pPr>
    </w:p>
    <w:p w14:paraId="14CD03DC">
      <w:pPr>
        <w:pStyle w:val="21"/>
        <w:rPr>
          <w:rFonts w:ascii="宋体" w:hAnsi="宋体" w:eastAsia="宋体" w:cs="宋体"/>
          <w:bCs/>
          <w:szCs w:val="21"/>
        </w:rPr>
      </w:pPr>
    </w:p>
    <w:p w14:paraId="059EBBC5">
      <w:pPr>
        <w:pStyle w:val="21"/>
        <w:rPr>
          <w:rFonts w:ascii="宋体" w:hAnsi="宋体" w:eastAsia="宋体" w:cs="宋体"/>
          <w:bCs/>
          <w:szCs w:val="21"/>
        </w:rPr>
      </w:pPr>
    </w:p>
    <w:p w14:paraId="44E99841">
      <w:pPr>
        <w:pStyle w:val="21"/>
        <w:rPr>
          <w:rFonts w:ascii="宋体" w:hAnsi="宋体" w:eastAsia="宋体" w:cs="宋体"/>
          <w:bCs/>
          <w:szCs w:val="21"/>
        </w:rPr>
      </w:pPr>
    </w:p>
    <w:p w14:paraId="3D18671D">
      <w:pPr>
        <w:pStyle w:val="21"/>
        <w:ind w:left="0" w:firstLine="0"/>
        <w:rPr>
          <w:rFonts w:ascii="宋体" w:hAnsi="宋体" w:eastAsia="宋体" w:cs="宋体"/>
          <w:bCs/>
          <w:szCs w:val="21"/>
        </w:rPr>
      </w:pPr>
    </w:p>
    <w:p w14:paraId="446D07E3"/>
    <w:p w14:paraId="6E5E6289">
      <w:pPr>
        <w:spacing w:line="360" w:lineRule="auto"/>
        <w:jc w:val="center"/>
        <w:outlineLvl w:val="1"/>
        <w:rPr>
          <w:rFonts w:asciiTheme="minorEastAsia" w:hAnsiTheme="minorEastAsia" w:eastAsiaTheme="minorEastAsia"/>
          <w:b/>
          <w:sz w:val="24"/>
        </w:rPr>
      </w:pPr>
      <w:r>
        <w:rPr>
          <w:rFonts w:hint="eastAsia" w:ascii="宋体" w:hAnsi="宋体" w:eastAsia="宋体"/>
          <w:b/>
          <w:szCs w:val="21"/>
        </w:rPr>
        <w:t>附件1</w:t>
      </w:r>
      <w:bookmarkStart w:id="280" w:name="OLE_LINK29"/>
      <w:r>
        <w:rPr>
          <w:rFonts w:hint="eastAsia" w:asciiTheme="minorEastAsia" w:hAnsiTheme="minorEastAsia" w:eastAsiaTheme="minorEastAsia"/>
          <w:b/>
          <w:sz w:val="24"/>
        </w:rPr>
        <w:t>授权书</w:t>
      </w:r>
    </w:p>
    <w:p w14:paraId="1BB3B163">
      <w:pPr>
        <w:spacing w:line="360" w:lineRule="auto"/>
        <w:jc w:val="center"/>
        <w:rPr>
          <w:rFonts w:asciiTheme="minorEastAsia" w:hAnsiTheme="minorEastAsia" w:eastAsiaTheme="minorEastAsia"/>
          <w:b/>
          <w:sz w:val="24"/>
        </w:rPr>
      </w:pPr>
    </w:p>
    <w:p w14:paraId="621DB7ED">
      <w:pPr>
        <w:pStyle w:val="15"/>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13AE842B">
      <w:pPr>
        <w:pStyle w:val="15"/>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1ED43860">
      <w:pPr>
        <w:pStyle w:val="15"/>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w:t>
      </w:r>
      <w:r>
        <w:rPr>
          <w:rFonts w:hint="eastAsia" w:hAnsi="宋体" w:eastAsia="宋体"/>
          <w:sz w:val="24"/>
          <w:lang w:val="en-US" w:eastAsia="zh-CN"/>
        </w:rPr>
        <w:t>复印件</w:t>
      </w:r>
      <w:r>
        <w:rPr>
          <w:rFonts w:hint="eastAsia" w:hAnsi="宋体" w:eastAsia="宋体"/>
          <w:sz w:val="24"/>
        </w:rPr>
        <w:t>：</w:t>
      </w:r>
    </w:p>
    <w:p w14:paraId="4B46C4DC">
      <w:pPr>
        <w:pStyle w:val="15"/>
        <w:snapToGrid w:val="0"/>
        <w:spacing w:line="360" w:lineRule="auto"/>
        <w:ind w:firstLine="480" w:firstLineChars="200"/>
        <w:jc w:val="left"/>
        <w:rPr>
          <w:rFonts w:hAnsi="宋体" w:eastAsia="宋体"/>
          <w:sz w:val="24"/>
        </w:rPr>
      </w:pPr>
    </w:p>
    <w:p w14:paraId="47F69C20">
      <w:pPr>
        <w:pStyle w:val="15"/>
        <w:snapToGrid w:val="0"/>
        <w:spacing w:line="360" w:lineRule="auto"/>
        <w:ind w:firstLine="480" w:firstLineChars="200"/>
        <w:jc w:val="left"/>
        <w:rPr>
          <w:rFonts w:hAnsi="宋体" w:eastAsia="宋体"/>
          <w:sz w:val="24"/>
        </w:rPr>
      </w:pPr>
    </w:p>
    <w:p w14:paraId="0173B909">
      <w:pPr>
        <w:pStyle w:val="15"/>
        <w:snapToGrid w:val="0"/>
        <w:spacing w:line="360" w:lineRule="auto"/>
        <w:ind w:firstLine="480" w:firstLineChars="200"/>
        <w:jc w:val="left"/>
        <w:rPr>
          <w:rFonts w:hAnsi="宋体" w:eastAsia="宋体"/>
          <w:sz w:val="24"/>
        </w:rPr>
      </w:pPr>
    </w:p>
    <w:p w14:paraId="0F9DE6E2">
      <w:pPr>
        <w:pStyle w:val="15"/>
        <w:snapToGrid w:val="0"/>
        <w:spacing w:line="360" w:lineRule="auto"/>
        <w:ind w:firstLine="480" w:firstLineChars="200"/>
        <w:jc w:val="left"/>
        <w:rPr>
          <w:rFonts w:hAnsi="宋体" w:eastAsia="宋体"/>
          <w:sz w:val="24"/>
        </w:rPr>
      </w:pPr>
    </w:p>
    <w:p w14:paraId="7983D817">
      <w:pPr>
        <w:pStyle w:val="15"/>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564FA5C9">
      <w:pPr>
        <w:pStyle w:val="15"/>
        <w:snapToGrid w:val="0"/>
        <w:spacing w:line="360" w:lineRule="auto"/>
        <w:ind w:firstLine="480" w:firstLineChars="200"/>
        <w:jc w:val="left"/>
        <w:rPr>
          <w:rFonts w:hAnsi="宋体" w:eastAsia="宋体"/>
          <w:sz w:val="24"/>
          <w:szCs w:val="28"/>
        </w:rPr>
      </w:pPr>
    </w:p>
    <w:p w14:paraId="45F04977">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0BDB404A">
      <w:pPr>
        <w:spacing w:line="360" w:lineRule="auto"/>
        <w:rPr>
          <w:rFonts w:ascii="宋体" w:hAnsi="宋体" w:eastAsia="宋体"/>
          <w:sz w:val="24"/>
          <w:szCs w:val="28"/>
        </w:rPr>
      </w:pPr>
    </w:p>
    <w:p w14:paraId="7F17C042">
      <w:pPr>
        <w:spacing w:line="360" w:lineRule="auto"/>
        <w:ind w:firstLine="4800" w:firstLineChars="2000"/>
        <w:rPr>
          <w:rFonts w:ascii="宋体" w:hAnsi="宋体" w:eastAsia="宋体"/>
          <w:sz w:val="24"/>
          <w:u w:val="single"/>
        </w:rPr>
      </w:pPr>
      <w:r>
        <w:rPr>
          <w:rFonts w:hint="eastAsia" w:ascii="宋体" w:hAnsi="宋体" w:eastAsia="宋体"/>
          <w:sz w:val="24"/>
        </w:rPr>
        <w:t>供应商电子签章：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6EBE3F3C">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650DEDEE">
      <w:pPr>
        <w:spacing w:line="360" w:lineRule="auto"/>
        <w:rPr>
          <w:rFonts w:ascii="宋体" w:hAnsi="宋体" w:eastAsia="宋体"/>
          <w:sz w:val="24"/>
          <w:szCs w:val="28"/>
        </w:rPr>
      </w:pPr>
    </w:p>
    <w:p w14:paraId="636BEB5D">
      <w:pPr>
        <w:spacing w:line="360" w:lineRule="auto"/>
        <w:rPr>
          <w:rFonts w:ascii="宋体" w:hAnsi="宋体" w:eastAsia="宋体"/>
          <w:sz w:val="24"/>
          <w:szCs w:val="28"/>
        </w:rPr>
      </w:pPr>
    </w:p>
    <w:p w14:paraId="6E7C127B">
      <w:pPr>
        <w:pStyle w:val="15"/>
        <w:snapToGrid w:val="0"/>
        <w:spacing w:line="360" w:lineRule="auto"/>
        <w:jc w:val="left"/>
        <w:rPr>
          <w:rFonts w:hAnsi="宋体" w:eastAsia="宋体"/>
          <w:sz w:val="24"/>
          <w:szCs w:val="28"/>
        </w:rPr>
      </w:pPr>
      <w:r>
        <w:rPr>
          <w:rFonts w:hint="eastAsia" w:hAnsi="宋体" w:eastAsia="宋体"/>
          <w:sz w:val="24"/>
          <w:szCs w:val="28"/>
        </w:rPr>
        <w:t>注：</w:t>
      </w:r>
    </w:p>
    <w:p w14:paraId="284B0F21">
      <w:pPr>
        <w:pStyle w:val="15"/>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w:t>
      </w:r>
      <w:bookmarkStart w:id="281" w:name="OLE_LINK7"/>
      <w:r>
        <w:rPr>
          <w:rFonts w:hint="eastAsia" w:hAnsi="宋体" w:eastAsia="宋体"/>
          <w:sz w:val="24"/>
          <w:szCs w:val="28"/>
          <w:lang w:val="en-US" w:eastAsia="zh-CN"/>
        </w:rPr>
        <w:t>复印件</w:t>
      </w:r>
      <w:bookmarkEnd w:id="281"/>
      <w:r>
        <w:rPr>
          <w:rFonts w:hint="eastAsia" w:hAnsi="宋体" w:eastAsia="宋体"/>
          <w:sz w:val="24"/>
          <w:szCs w:val="28"/>
        </w:rPr>
        <w:t>；</w:t>
      </w:r>
    </w:p>
    <w:p w14:paraId="267CDA01">
      <w:pPr>
        <w:spacing w:line="360" w:lineRule="auto"/>
        <w:jc w:val="left"/>
        <w:rPr>
          <w:rFonts w:ascii="宋体" w:hAnsi="宋体" w:eastAsia="宋体"/>
          <w:sz w:val="24"/>
        </w:rPr>
      </w:pPr>
      <w:r>
        <w:rPr>
          <w:rFonts w:hint="eastAsia" w:ascii="宋体" w:hAnsi="宋体" w:eastAsia="宋体"/>
          <w:sz w:val="24"/>
        </w:rPr>
        <w:t>2.法定代表人参加磋商的无需提供授权书，仅提供身份证明</w:t>
      </w:r>
      <w:r>
        <w:rPr>
          <w:rFonts w:hint="eastAsia" w:hAnsi="宋体" w:eastAsia="宋体"/>
          <w:sz w:val="24"/>
          <w:szCs w:val="28"/>
          <w:lang w:val="en-US" w:eastAsia="zh-CN"/>
        </w:rPr>
        <w:t>复印件</w:t>
      </w:r>
      <w:r>
        <w:rPr>
          <w:rFonts w:hint="eastAsia" w:ascii="宋体" w:hAnsi="宋体" w:eastAsia="宋体"/>
          <w:sz w:val="24"/>
        </w:rPr>
        <w:t>。</w:t>
      </w:r>
    </w:p>
    <w:p w14:paraId="3FECD1C3">
      <w:pPr>
        <w:widowControl/>
        <w:jc w:val="left"/>
        <w:rPr>
          <w:rFonts w:ascii="宋体" w:hAnsi="宋体"/>
          <w:szCs w:val="21"/>
        </w:rPr>
      </w:pPr>
      <w:r>
        <w:rPr>
          <w:rFonts w:ascii="宋体" w:hAnsi="宋体" w:eastAsia="宋体"/>
          <w:sz w:val="24"/>
        </w:rPr>
        <w:br w:type="page"/>
      </w:r>
    </w:p>
    <w:bookmarkEnd w:id="280"/>
    <w:p w14:paraId="6B75CC28">
      <w:pPr>
        <w:spacing w:line="560" w:lineRule="atLeast"/>
        <w:jc w:val="left"/>
        <w:rPr>
          <w:rFonts w:ascii="宋体" w:hAnsi="宋体" w:eastAsia="仿宋_GB2312" w:cs="宋体"/>
          <w:b/>
          <w:bCs/>
          <w:szCs w:val="21"/>
        </w:rPr>
      </w:pPr>
      <w:r>
        <w:rPr>
          <w:rFonts w:hint="eastAsia" w:ascii="宋体" w:hAnsi="宋体" w:eastAsia="仿宋_GB2312" w:cs="宋体"/>
          <w:b/>
          <w:bCs/>
          <w:szCs w:val="21"/>
        </w:rPr>
        <w:t>附件2：</w:t>
      </w:r>
    </w:p>
    <w:p w14:paraId="4F13C387">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供应商资格声明书</w:t>
      </w:r>
    </w:p>
    <w:p w14:paraId="3B44C1D5">
      <w:pPr>
        <w:pStyle w:val="16"/>
        <w:spacing w:line="360" w:lineRule="auto"/>
        <w:rPr>
          <w:rFonts w:asciiTheme="minorEastAsia" w:hAnsiTheme="minorEastAsia" w:cstheme="minorEastAsia"/>
          <w:sz w:val="24"/>
          <w:szCs w:val="24"/>
        </w:rPr>
      </w:pPr>
      <w:r>
        <w:rPr>
          <w:rFonts w:hint="eastAsia" w:ascii="宋体" w:hAnsi="宋体"/>
          <w:sz w:val="24"/>
        </w:rPr>
        <w:t>致：采购人</w:t>
      </w:r>
    </w:p>
    <w:p w14:paraId="55CDB0CC">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在参与本次项目磋商中，我单位承诺：</w:t>
      </w:r>
    </w:p>
    <w:p w14:paraId="4D99EB65">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（一）具有良好的商业信誉和健全的财务会计制度；</w:t>
      </w:r>
    </w:p>
    <w:p w14:paraId="538DD129">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（二）具有履行合同所必需的设备和专业技术能力；</w:t>
      </w:r>
    </w:p>
    <w:p w14:paraId="6ABC0856">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（三）有依法缴纳税收和社会保障资金的良好记录；</w:t>
      </w:r>
    </w:p>
    <w:p w14:paraId="07E4C75E">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B26720B">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（五）我单位不存在为采购项目提供整体设计、规范编制或者项目管理、监理、检测等服务后，再参加该采购项目的其他采购活动的情形（单一来源采购项目除外）；</w:t>
      </w:r>
    </w:p>
    <w:p w14:paraId="754CBA7C">
      <w:pPr>
        <w:widowControl/>
        <w:spacing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（六）与我单位存在单位负责人为同一人或者存在直接控股、管理关系的其他法人单位信息如下（如有，不论其是否参加同一合同项下的政府采购活动均须填写）：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6BC8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447E15C0">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4501" w:type="dxa"/>
          </w:tcPr>
          <w:p w14:paraId="18DDB4F6">
            <w:pPr>
              <w:pStyle w:val="11"/>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单位名称</w:t>
            </w:r>
          </w:p>
        </w:tc>
        <w:tc>
          <w:tcPr>
            <w:tcW w:w="2681" w:type="dxa"/>
          </w:tcPr>
          <w:p w14:paraId="0B6EEE8C">
            <w:pPr>
              <w:pStyle w:val="11"/>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相互关系</w:t>
            </w:r>
          </w:p>
        </w:tc>
      </w:tr>
      <w:tr w14:paraId="4097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1F4DD22">
            <w:pPr>
              <w:pStyle w:val="11"/>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1</w:t>
            </w:r>
          </w:p>
        </w:tc>
        <w:tc>
          <w:tcPr>
            <w:tcW w:w="4501" w:type="dxa"/>
          </w:tcPr>
          <w:p w14:paraId="17FF0881">
            <w:pPr>
              <w:pStyle w:val="11"/>
              <w:jc w:val="center"/>
              <w:rPr>
                <w:rFonts w:asciiTheme="minorEastAsia" w:hAnsiTheme="minorEastAsia" w:eastAsiaTheme="minorEastAsia" w:cstheme="minorEastAsia"/>
                <w:color w:val="000000"/>
                <w:kern w:val="0"/>
                <w:sz w:val="24"/>
                <w:lang w:val="en-US"/>
              </w:rPr>
            </w:pPr>
          </w:p>
        </w:tc>
        <w:tc>
          <w:tcPr>
            <w:tcW w:w="2681" w:type="dxa"/>
          </w:tcPr>
          <w:p w14:paraId="4061A373">
            <w:pPr>
              <w:pStyle w:val="11"/>
              <w:jc w:val="center"/>
              <w:rPr>
                <w:rFonts w:asciiTheme="minorEastAsia" w:hAnsiTheme="minorEastAsia" w:eastAsiaTheme="minorEastAsia" w:cstheme="minorEastAsia"/>
                <w:color w:val="000000"/>
                <w:kern w:val="0"/>
                <w:sz w:val="24"/>
                <w:lang w:val="en-US"/>
              </w:rPr>
            </w:pPr>
          </w:p>
        </w:tc>
      </w:tr>
      <w:tr w14:paraId="1116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7C24812">
            <w:pPr>
              <w:pStyle w:val="11"/>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2</w:t>
            </w:r>
          </w:p>
        </w:tc>
        <w:tc>
          <w:tcPr>
            <w:tcW w:w="4501" w:type="dxa"/>
          </w:tcPr>
          <w:p w14:paraId="0DB45014">
            <w:pPr>
              <w:pStyle w:val="11"/>
              <w:jc w:val="center"/>
              <w:rPr>
                <w:rFonts w:asciiTheme="minorEastAsia" w:hAnsiTheme="minorEastAsia" w:eastAsiaTheme="minorEastAsia" w:cstheme="minorEastAsia"/>
                <w:color w:val="000000"/>
                <w:kern w:val="0"/>
                <w:sz w:val="24"/>
                <w:lang w:val="en-US"/>
              </w:rPr>
            </w:pPr>
          </w:p>
        </w:tc>
        <w:tc>
          <w:tcPr>
            <w:tcW w:w="2681" w:type="dxa"/>
          </w:tcPr>
          <w:p w14:paraId="1F0AED77">
            <w:pPr>
              <w:pStyle w:val="11"/>
              <w:jc w:val="center"/>
              <w:rPr>
                <w:rFonts w:asciiTheme="minorEastAsia" w:hAnsiTheme="minorEastAsia" w:eastAsiaTheme="minorEastAsia" w:cstheme="minorEastAsia"/>
                <w:color w:val="000000"/>
                <w:kern w:val="0"/>
                <w:sz w:val="24"/>
                <w:lang w:val="en-US"/>
              </w:rPr>
            </w:pPr>
          </w:p>
        </w:tc>
      </w:tr>
    </w:tbl>
    <w:p w14:paraId="531DF272">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3A8ACD0D">
      <w:pPr>
        <w:spacing w:line="360" w:lineRule="auto"/>
        <w:ind w:firstLine="4800" w:firstLineChars="2000"/>
        <w:rPr>
          <w:rFonts w:ascii="宋体" w:hAnsi="宋体" w:eastAsia="宋体"/>
          <w:sz w:val="24"/>
          <w:u w:val="single"/>
        </w:rPr>
      </w:pPr>
      <w:r>
        <w:rPr>
          <w:rFonts w:hint="eastAsia" w:ascii="宋体" w:hAnsi="宋体" w:eastAsia="宋体"/>
          <w:sz w:val="24"/>
        </w:rPr>
        <w:t>供应商电子签章：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250758E2">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4DAE0697">
      <w:pPr>
        <w:spacing w:line="600" w:lineRule="exact"/>
        <w:ind w:firstLine="4095" w:firstLineChars="1950"/>
        <w:rPr>
          <w:rFonts w:ascii="宋体" w:hAnsi="宋体"/>
          <w:szCs w:val="21"/>
        </w:rPr>
      </w:pPr>
    </w:p>
    <w:p w14:paraId="1F46B06A">
      <w:pPr>
        <w:spacing w:line="600" w:lineRule="exact"/>
        <w:jc w:val="left"/>
        <w:rPr>
          <w:rFonts w:ascii="宋体"/>
          <w:szCs w:val="21"/>
        </w:rPr>
      </w:pPr>
    </w:p>
    <w:p w14:paraId="6D1C0A27">
      <w:pPr>
        <w:spacing w:line="600" w:lineRule="exact"/>
        <w:jc w:val="left"/>
        <w:rPr>
          <w:rFonts w:ascii="宋体"/>
          <w:szCs w:val="21"/>
        </w:rPr>
      </w:pPr>
    </w:p>
    <w:p w14:paraId="28950D6E">
      <w:pPr>
        <w:pStyle w:val="27"/>
      </w:pPr>
    </w:p>
    <w:p w14:paraId="091DB954"/>
    <w:p w14:paraId="685EDFCB">
      <w:pPr>
        <w:pStyle w:val="27"/>
      </w:pPr>
    </w:p>
    <w:p w14:paraId="2C048B15">
      <w:pPr>
        <w:spacing w:line="560" w:lineRule="atLeast"/>
        <w:jc w:val="left"/>
        <w:rPr>
          <w:rFonts w:ascii="宋体" w:hAnsi="宋体" w:eastAsia="仿宋_GB2312" w:cs="宋体"/>
          <w:b/>
          <w:bCs/>
          <w:szCs w:val="21"/>
        </w:rPr>
      </w:pPr>
      <w:r>
        <w:rPr>
          <w:rFonts w:hint="eastAsia" w:ascii="宋体" w:hAnsi="宋体" w:eastAsia="仿宋_GB2312" w:cs="宋体"/>
          <w:b/>
          <w:bCs/>
          <w:szCs w:val="21"/>
        </w:rPr>
        <w:t>附件3：</w:t>
      </w:r>
    </w:p>
    <w:p w14:paraId="2A2530E2">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报价表格式</w:t>
      </w:r>
    </w:p>
    <w:p w14:paraId="4C9AAEDC">
      <w:pPr>
        <w:spacing w:beforeLines="50" w:afterLines="50" w:line="360" w:lineRule="auto"/>
        <w:jc w:val="left"/>
        <w:outlineLvl w:val="2"/>
        <w:rPr>
          <w:rFonts w:ascii="宋体" w:hAnsi="宋体" w:eastAsia="宋体"/>
          <w:b/>
          <w:sz w:val="24"/>
          <w:szCs w:val="28"/>
        </w:rPr>
      </w:pPr>
      <w:r>
        <w:rPr>
          <w:rFonts w:hint="eastAsia" w:ascii="宋体" w:hAnsi="宋体" w:eastAsia="宋体"/>
          <w:b/>
          <w:sz w:val="24"/>
          <w:szCs w:val="28"/>
        </w:rPr>
        <w:t>1-1 报价表</w:t>
      </w:r>
    </w:p>
    <w:p w14:paraId="1792D589">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p>
    <w:p w14:paraId="3F5BCA32">
      <w:pPr>
        <w:snapToGrid w:val="0"/>
        <w:spacing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DF3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F5D6036">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7A0AE1FB">
            <w:pPr>
              <w:spacing w:line="360" w:lineRule="auto"/>
              <w:rPr>
                <w:rFonts w:ascii="宋体" w:hAnsi="宋体" w:eastAsia="宋体"/>
                <w:b/>
                <w:sz w:val="24"/>
              </w:rPr>
            </w:pPr>
          </w:p>
        </w:tc>
      </w:tr>
      <w:tr w14:paraId="3407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59F8C0">
            <w:pPr>
              <w:spacing w:line="360" w:lineRule="exact"/>
              <w:jc w:val="center"/>
              <w:rPr>
                <w:rFonts w:ascii="宋体" w:hAnsi="宋体" w:eastAsia="宋体"/>
                <w:b/>
                <w:sz w:val="24"/>
              </w:rPr>
            </w:pPr>
            <w:r>
              <w:rPr>
                <w:rFonts w:hint="eastAsia" w:ascii="宋体" w:hAnsi="宋体" w:eastAsia="宋体"/>
                <w:b/>
                <w:sz w:val="24"/>
              </w:rPr>
              <w:t>磋商范围</w:t>
            </w:r>
          </w:p>
        </w:tc>
        <w:tc>
          <w:tcPr>
            <w:tcW w:w="3557" w:type="pct"/>
            <w:tcBorders>
              <w:left w:val="single" w:color="auto" w:sz="4" w:space="0"/>
            </w:tcBorders>
            <w:vAlign w:val="center"/>
          </w:tcPr>
          <w:p w14:paraId="69566820">
            <w:pPr>
              <w:widowControl/>
              <w:spacing w:line="360" w:lineRule="exact"/>
              <w:rPr>
                <w:rFonts w:ascii="宋体" w:hAnsi="宋体" w:eastAsia="宋体"/>
                <w:b/>
                <w:sz w:val="24"/>
              </w:rPr>
            </w:pPr>
            <w:r>
              <w:rPr>
                <w:rFonts w:hint="eastAsia" w:asciiTheme="minorEastAsia" w:hAnsiTheme="minorEastAsia" w:eastAsiaTheme="minorEastAsia"/>
                <w:sz w:val="24"/>
                <w:szCs w:val="28"/>
              </w:rPr>
              <w:t>全部 / 第</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包</w:t>
            </w:r>
          </w:p>
        </w:tc>
      </w:tr>
      <w:tr w14:paraId="4AF4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998F196">
            <w:pPr>
              <w:spacing w:line="360" w:lineRule="auto"/>
              <w:jc w:val="center"/>
              <w:rPr>
                <w:rFonts w:ascii="宋体" w:hAnsi="宋体" w:eastAsia="宋体"/>
                <w:b/>
                <w:sz w:val="24"/>
              </w:rPr>
            </w:pPr>
            <w:r>
              <w:rPr>
                <w:rFonts w:hint="eastAsia" w:ascii="宋体" w:hAnsi="宋体" w:eastAsia="宋体"/>
                <w:b/>
                <w:sz w:val="24"/>
              </w:rPr>
              <w:t>报价</w:t>
            </w:r>
          </w:p>
          <w:p w14:paraId="0588A4F9">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19924E86">
            <w:pPr>
              <w:snapToGrid w:val="0"/>
              <w:spacing w:line="360" w:lineRule="auto"/>
              <w:rPr>
                <w:rFonts w:ascii="宋体" w:hAnsi="宋体" w:eastAsia="宋体"/>
                <w:sz w:val="24"/>
                <w:szCs w:val="28"/>
              </w:rPr>
            </w:pPr>
          </w:p>
          <w:p w14:paraId="7DFF64F7">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4BF3103E">
            <w:pPr>
              <w:spacing w:line="360" w:lineRule="auto"/>
              <w:ind w:right="-670"/>
              <w:rPr>
                <w:rFonts w:asciiTheme="minorEastAsia" w:hAnsiTheme="minorEastAsia" w:eastAsia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p w14:paraId="63075995">
            <w:pPr>
              <w:snapToGrid w:val="0"/>
              <w:spacing w:line="360" w:lineRule="auto"/>
              <w:rPr>
                <w:rFonts w:ascii="宋体" w:hAnsi="宋体" w:eastAsia="宋体"/>
                <w:b/>
                <w:sz w:val="24"/>
              </w:rPr>
            </w:pPr>
          </w:p>
        </w:tc>
      </w:tr>
      <w:tr w14:paraId="51DA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5FEA5C5F">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2C441BF3">
            <w:pPr>
              <w:spacing w:line="360" w:lineRule="auto"/>
              <w:rPr>
                <w:rFonts w:ascii="宋体" w:hAnsi="宋体" w:eastAsia="宋体"/>
                <w:b/>
                <w:sz w:val="24"/>
              </w:rPr>
            </w:pPr>
          </w:p>
        </w:tc>
      </w:tr>
    </w:tbl>
    <w:p w14:paraId="5DE10A32">
      <w:pPr>
        <w:spacing w:line="360" w:lineRule="auto"/>
        <w:ind w:firstLine="4800" w:firstLineChars="2000"/>
        <w:rPr>
          <w:rFonts w:ascii="宋体" w:hAnsi="宋体" w:eastAsia="宋体"/>
          <w:sz w:val="24"/>
        </w:rPr>
      </w:pPr>
      <w:r>
        <w:rPr>
          <w:rFonts w:hint="eastAsia" w:ascii="宋体" w:hAnsi="宋体" w:eastAsia="宋体"/>
          <w:sz w:val="24"/>
        </w:rPr>
        <w:t>供应商电子签章：</w:t>
      </w:r>
      <w:r>
        <w:rPr>
          <w:rFonts w:hint="eastAsia" w:ascii="宋体" w:hAnsi="宋体" w:eastAsia="宋体"/>
          <w:sz w:val="24"/>
          <w:u w:val="single"/>
        </w:rPr>
        <w:t xml:space="preserve">             </w:t>
      </w:r>
    </w:p>
    <w:p w14:paraId="5618160A">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3C5B46A7">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58B6658E">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2BE46211">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6CCDBFAF">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3.表中大写金额与小写金额不一致的，以大写金额为准。</w:t>
      </w:r>
    </w:p>
    <w:p w14:paraId="3B66383C">
      <w:pPr>
        <w:spacing w:line="600" w:lineRule="auto"/>
        <w:ind w:firstLine="4680" w:firstLineChars="1950"/>
        <w:rPr>
          <w:rFonts w:ascii="宋体" w:hAnsi="宋体" w:cs="宋体"/>
          <w:bCs/>
          <w:sz w:val="24"/>
          <w:szCs w:val="24"/>
        </w:rPr>
      </w:pPr>
      <w:r>
        <w:rPr>
          <w:rFonts w:hint="eastAsia" w:ascii="宋体" w:hAnsi="宋体" w:cs="宋体"/>
          <w:bCs/>
          <w:sz w:val="24"/>
          <w:szCs w:val="24"/>
          <w:u w:val="single"/>
        </w:rPr>
        <w:t xml:space="preserve"> </w:t>
      </w:r>
    </w:p>
    <w:p w14:paraId="48701079">
      <w:pPr>
        <w:spacing w:beforeLines="50" w:afterLines="50" w:line="360" w:lineRule="auto"/>
        <w:jc w:val="left"/>
        <w:outlineLvl w:val="2"/>
        <w:rPr>
          <w:rFonts w:ascii="宋体" w:hAnsi="宋体" w:eastAsia="宋体"/>
          <w:b/>
          <w:sz w:val="24"/>
          <w:szCs w:val="28"/>
        </w:rPr>
      </w:pPr>
      <w:r>
        <w:rPr>
          <w:rFonts w:hint="eastAsia" w:ascii="宋体" w:hAnsi="宋体" w:eastAsia="宋体"/>
          <w:b/>
          <w:sz w:val="24"/>
          <w:szCs w:val="28"/>
        </w:rPr>
        <w:t>1-2 分项报价明细表</w:t>
      </w:r>
    </w:p>
    <w:p w14:paraId="65ABE357">
      <w:pPr>
        <w:spacing w:line="360" w:lineRule="auto"/>
        <w:ind w:firstLine="435"/>
        <w:jc w:val="center"/>
        <w:rPr>
          <w:rFonts w:asciiTheme="minorEastAsia" w:hAnsiTheme="minorEastAsia" w:eastAsiaTheme="minorEastAsia"/>
          <w:b/>
          <w:sz w:val="24"/>
        </w:rPr>
      </w:pPr>
      <w:r>
        <w:rPr>
          <w:rFonts w:hint="eastAsia" w:asciiTheme="minorEastAsia" w:hAnsiTheme="minorEastAsia" w:eastAsiaTheme="minorEastAsia"/>
          <w:i/>
          <w:sz w:val="24"/>
        </w:rPr>
        <w:t>（仅供参考，供应商可自行制作格式）</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64BB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3A0B36EE">
            <w:pPr>
              <w:jc w:val="center"/>
              <w:rPr>
                <w:rFonts w:ascii="宋体" w:hAnsi="宋体" w:eastAsia="宋体"/>
                <w:b/>
                <w:sz w:val="24"/>
              </w:rPr>
            </w:pPr>
            <w:r>
              <w:rPr>
                <w:rFonts w:hint="eastAsia" w:ascii="宋体" w:hAnsi="宋体" w:eastAsia="宋体"/>
                <w:b/>
                <w:sz w:val="24"/>
              </w:rPr>
              <w:t>序号</w:t>
            </w:r>
          </w:p>
        </w:tc>
        <w:tc>
          <w:tcPr>
            <w:tcW w:w="1824" w:type="pct"/>
            <w:vAlign w:val="center"/>
          </w:tcPr>
          <w:p w14:paraId="2770CEE7">
            <w:pPr>
              <w:jc w:val="center"/>
              <w:rPr>
                <w:rFonts w:ascii="宋体" w:hAnsi="宋体" w:eastAsia="宋体"/>
                <w:b/>
                <w:sz w:val="24"/>
              </w:rPr>
            </w:pPr>
            <w:r>
              <w:rPr>
                <w:rFonts w:hint="eastAsia" w:ascii="宋体" w:hAnsi="宋体" w:eastAsia="宋体"/>
                <w:b/>
                <w:sz w:val="24"/>
              </w:rPr>
              <w:t>服务内容</w:t>
            </w:r>
          </w:p>
        </w:tc>
        <w:tc>
          <w:tcPr>
            <w:tcW w:w="796" w:type="pct"/>
            <w:vAlign w:val="center"/>
          </w:tcPr>
          <w:p w14:paraId="7A682B3C">
            <w:pPr>
              <w:jc w:val="center"/>
              <w:rPr>
                <w:rFonts w:ascii="宋体" w:hAnsi="宋体" w:eastAsia="宋体"/>
                <w:b/>
                <w:sz w:val="24"/>
              </w:rPr>
            </w:pPr>
            <w:r>
              <w:rPr>
                <w:rFonts w:hint="eastAsia" w:ascii="宋体" w:hAnsi="宋体" w:eastAsia="宋体"/>
                <w:b/>
                <w:sz w:val="24"/>
              </w:rPr>
              <w:t>项</w:t>
            </w:r>
          </w:p>
        </w:tc>
        <w:tc>
          <w:tcPr>
            <w:tcW w:w="996" w:type="pct"/>
            <w:vAlign w:val="center"/>
          </w:tcPr>
          <w:p w14:paraId="2D8E6B38">
            <w:pPr>
              <w:jc w:val="center"/>
              <w:rPr>
                <w:rFonts w:ascii="宋体" w:hAnsi="宋体" w:eastAsia="宋体"/>
                <w:b/>
                <w:sz w:val="24"/>
              </w:rPr>
            </w:pPr>
            <w:r>
              <w:rPr>
                <w:rFonts w:hint="eastAsia" w:ascii="宋体" w:hAnsi="宋体" w:eastAsia="宋体"/>
                <w:b/>
                <w:sz w:val="24"/>
              </w:rPr>
              <w:t>单价</w:t>
            </w:r>
          </w:p>
        </w:tc>
        <w:tc>
          <w:tcPr>
            <w:tcW w:w="920" w:type="pct"/>
            <w:vAlign w:val="center"/>
          </w:tcPr>
          <w:p w14:paraId="349C79D7">
            <w:pPr>
              <w:jc w:val="center"/>
              <w:rPr>
                <w:rFonts w:ascii="宋体" w:hAnsi="宋体" w:eastAsia="宋体"/>
                <w:b/>
                <w:sz w:val="24"/>
              </w:rPr>
            </w:pPr>
            <w:r>
              <w:rPr>
                <w:rFonts w:hint="eastAsia" w:ascii="宋体" w:hAnsi="宋体" w:eastAsia="宋体"/>
                <w:b/>
                <w:sz w:val="24"/>
              </w:rPr>
              <w:t>小计金额（元）</w:t>
            </w:r>
          </w:p>
        </w:tc>
      </w:tr>
      <w:tr w14:paraId="585B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290A7EF2">
            <w:pPr>
              <w:jc w:val="center"/>
              <w:rPr>
                <w:rFonts w:ascii="宋体" w:hAnsi="宋体" w:eastAsia="宋体"/>
                <w:sz w:val="24"/>
              </w:rPr>
            </w:pPr>
            <w:r>
              <w:rPr>
                <w:rFonts w:hint="eastAsia" w:ascii="宋体" w:hAnsi="宋体" w:eastAsia="宋体"/>
                <w:sz w:val="24"/>
              </w:rPr>
              <w:t>1</w:t>
            </w:r>
          </w:p>
        </w:tc>
        <w:tc>
          <w:tcPr>
            <w:tcW w:w="1824" w:type="pct"/>
            <w:vAlign w:val="center"/>
          </w:tcPr>
          <w:p w14:paraId="7EDEBE33">
            <w:pPr>
              <w:jc w:val="center"/>
              <w:rPr>
                <w:rFonts w:ascii="宋体" w:hAnsi="宋体" w:eastAsia="宋体"/>
                <w:sz w:val="24"/>
              </w:rPr>
            </w:pPr>
          </w:p>
        </w:tc>
        <w:tc>
          <w:tcPr>
            <w:tcW w:w="796" w:type="pct"/>
            <w:vAlign w:val="center"/>
          </w:tcPr>
          <w:p w14:paraId="41A2B4EB">
            <w:pPr>
              <w:jc w:val="center"/>
              <w:rPr>
                <w:rFonts w:ascii="宋体" w:hAnsi="宋体" w:eastAsia="宋体"/>
                <w:sz w:val="24"/>
              </w:rPr>
            </w:pPr>
          </w:p>
        </w:tc>
        <w:tc>
          <w:tcPr>
            <w:tcW w:w="996" w:type="pct"/>
            <w:vAlign w:val="center"/>
          </w:tcPr>
          <w:p w14:paraId="40D892A2">
            <w:pPr>
              <w:jc w:val="center"/>
              <w:rPr>
                <w:rFonts w:ascii="宋体" w:hAnsi="宋体" w:eastAsia="宋体"/>
                <w:sz w:val="24"/>
              </w:rPr>
            </w:pPr>
          </w:p>
        </w:tc>
        <w:tc>
          <w:tcPr>
            <w:tcW w:w="920" w:type="pct"/>
            <w:vAlign w:val="center"/>
          </w:tcPr>
          <w:p w14:paraId="5BAA9C85">
            <w:pPr>
              <w:jc w:val="center"/>
              <w:rPr>
                <w:rFonts w:ascii="宋体" w:hAnsi="宋体" w:eastAsia="宋体"/>
                <w:sz w:val="24"/>
              </w:rPr>
            </w:pPr>
          </w:p>
        </w:tc>
      </w:tr>
      <w:tr w14:paraId="195B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67C9EC3">
            <w:pPr>
              <w:jc w:val="center"/>
              <w:rPr>
                <w:rFonts w:ascii="宋体" w:hAnsi="宋体" w:eastAsia="宋体"/>
                <w:sz w:val="24"/>
              </w:rPr>
            </w:pPr>
            <w:r>
              <w:rPr>
                <w:rFonts w:hint="eastAsia" w:ascii="宋体" w:hAnsi="宋体" w:eastAsia="宋体"/>
                <w:sz w:val="24"/>
              </w:rPr>
              <w:t>2</w:t>
            </w:r>
          </w:p>
        </w:tc>
        <w:tc>
          <w:tcPr>
            <w:tcW w:w="1824" w:type="pct"/>
            <w:vAlign w:val="center"/>
          </w:tcPr>
          <w:p w14:paraId="305184D2">
            <w:pPr>
              <w:jc w:val="center"/>
              <w:rPr>
                <w:rFonts w:ascii="宋体" w:hAnsi="宋体" w:eastAsia="宋体"/>
                <w:sz w:val="24"/>
              </w:rPr>
            </w:pPr>
          </w:p>
        </w:tc>
        <w:tc>
          <w:tcPr>
            <w:tcW w:w="796" w:type="pct"/>
            <w:vAlign w:val="center"/>
          </w:tcPr>
          <w:p w14:paraId="1AA2BC58">
            <w:pPr>
              <w:jc w:val="center"/>
              <w:rPr>
                <w:rFonts w:ascii="宋体" w:hAnsi="宋体" w:eastAsia="宋体"/>
                <w:sz w:val="24"/>
              </w:rPr>
            </w:pPr>
          </w:p>
        </w:tc>
        <w:tc>
          <w:tcPr>
            <w:tcW w:w="996" w:type="pct"/>
            <w:vAlign w:val="center"/>
          </w:tcPr>
          <w:p w14:paraId="71D8D24A">
            <w:pPr>
              <w:jc w:val="center"/>
              <w:rPr>
                <w:rFonts w:ascii="宋体" w:hAnsi="宋体" w:eastAsia="宋体"/>
                <w:sz w:val="24"/>
              </w:rPr>
            </w:pPr>
          </w:p>
        </w:tc>
        <w:tc>
          <w:tcPr>
            <w:tcW w:w="920" w:type="pct"/>
            <w:vAlign w:val="center"/>
          </w:tcPr>
          <w:p w14:paraId="13292308">
            <w:pPr>
              <w:jc w:val="center"/>
              <w:rPr>
                <w:rFonts w:ascii="宋体" w:hAnsi="宋体" w:eastAsia="宋体"/>
                <w:sz w:val="24"/>
              </w:rPr>
            </w:pPr>
          </w:p>
        </w:tc>
      </w:tr>
      <w:tr w14:paraId="558D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D9582EF">
            <w:pPr>
              <w:jc w:val="center"/>
              <w:rPr>
                <w:rFonts w:ascii="宋体" w:hAnsi="宋体" w:eastAsia="宋体"/>
                <w:sz w:val="24"/>
              </w:rPr>
            </w:pPr>
            <w:r>
              <w:rPr>
                <w:rFonts w:hint="eastAsia" w:ascii="宋体" w:hAnsi="宋体" w:eastAsia="宋体"/>
                <w:sz w:val="24"/>
              </w:rPr>
              <w:t>3</w:t>
            </w:r>
          </w:p>
        </w:tc>
        <w:tc>
          <w:tcPr>
            <w:tcW w:w="1824" w:type="pct"/>
            <w:vAlign w:val="center"/>
          </w:tcPr>
          <w:p w14:paraId="1A9CEF15">
            <w:pPr>
              <w:jc w:val="center"/>
              <w:rPr>
                <w:rFonts w:ascii="宋体" w:hAnsi="宋体" w:eastAsia="宋体"/>
                <w:sz w:val="24"/>
              </w:rPr>
            </w:pPr>
          </w:p>
        </w:tc>
        <w:tc>
          <w:tcPr>
            <w:tcW w:w="796" w:type="pct"/>
            <w:vAlign w:val="center"/>
          </w:tcPr>
          <w:p w14:paraId="27FF1018">
            <w:pPr>
              <w:jc w:val="center"/>
              <w:rPr>
                <w:rFonts w:ascii="宋体" w:hAnsi="宋体" w:eastAsia="宋体"/>
                <w:sz w:val="24"/>
              </w:rPr>
            </w:pPr>
          </w:p>
        </w:tc>
        <w:tc>
          <w:tcPr>
            <w:tcW w:w="996" w:type="pct"/>
            <w:vAlign w:val="center"/>
          </w:tcPr>
          <w:p w14:paraId="5A03ABF4">
            <w:pPr>
              <w:jc w:val="center"/>
              <w:rPr>
                <w:rFonts w:ascii="宋体" w:hAnsi="宋体" w:eastAsia="宋体"/>
                <w:sz w:val="24"/>
              </w:rPr>
            </w:pPr>
          </w:p>
        </w:tc>
        <w:tc>
          <w:tcPr>
            <w:tcW w:w="920" w:type="pct"/>
            <w:vAlign w:val="center"/>
          </w:tcPr>
          <w:p w14:paraId="727B851B">
            <w:pPr>
              <w:jc w:val="center"/>
              <w:rPr>
                <w:rFonts w:ascii="宋体" w:hAnsi="宋体" w:eastAsia="宋体"/>
                <w:sz w:val="24"/>
              </w:rPr>
            </w:pPr>
          </w:p>
        </w:tc>
      </w:tr>
      <w:tr w14:paraId="51D9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9275639">
            <w:pPr>
              <w:jc w:val="center"/>
              <w:rPr>
                <w:rFonts w:ascii="宋体" w:hAnsi="宋体" w:eastAsia="宋体"/>
                <w:sz w:val="24"/>
              </w:rPr>
            </w:pPr>
            <w:r>
              <w:rPr>
                <w:rFonts w:ascii="宋体" w:hAnsi="宋体" w:eastAsia="宋体"/>
                <w:sz w:val="24"/>
              </w:rPr>
              <w:t>…</w:t>
            </w:r>
          </w:p>
        </w:tc>
        <w:tc>
          <w:tcPr>
            <w:tcW w:w="1824" w:type="pct"/>
            <w:vAlign w:val="center"/>
          </w:tcPr>
          <w:p w14:paraId="45FDBABE">
            <w:pPr>
              <w:jc w:val="center"/>
              <w:rPr>
                <w:rFonts w:ascii="宋体" w:hAnsi="宋体" w:eastAsia="宋体"/>
                <w:sz w:val="24"/>
              </w:rPr>
            </w:pPr>
          </w:p>
        </w:tc>
        <w:tc>
          <w:tcPr>
            <w:tcW w:w="796" w:type="pct"/>
            <w:vAlign w:val="center"/>
          </w:tcPr>
          <w:p w14:paraId="5F06F3A3">
            <w:pPr>
              <w:jc w:val="center"/>
              <w:rPr>
                <w:rFonts w:ascii="宋体" w:hAnsi="宋体" w:eastAsia="宋体"/>
                <w:sz w:val="24"/>
              </w:rPr>
            </w:pPr>
          </w:p>
        </w:tc>
        <w:tc>
          <w:tcPr>
            <w:tcW w:w="996" w:type="pct"/>
            <w:vAlign w:val="center"/>
          </w:tcPr>
          <w:p w14:paraId="20525C87">
            <w:pPr>
              <w:jc w:val="center"/>
              <w:rPr>
                <w:rFonts w:ascii="宋体" w:hAnsi="宋体" w:eastAsia="宋体"/>
                <w:sz w:val="24"/>
              </w:rPr>
            </w:pPr>
          </w:p>
        </w:tc>
        <w:tc>
          <w:tcPr>
            <w:tcW w:w="920" w:type="pct"/>
            <w:vAlign w:val="center"/>
          </w:tcPr>
          <w:p w14:paraId="673634D0">
            <w:pPr>
              <w:jc w:val="center"/>
              <w:rPr>
                <w:rFonts w:ascii="宋体" w:hAnsi="宋体" w:eastAsia="宋体"/>
                <w:sz w:val="24"/>
              </w:rPr>
            </w:pPr>
          </w:p>
        </w:tc>
      </w:tr>
      <w:tr w14:paraId="70D8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EF90B89">
            <w:pPr>
              <w:jc w:val="center"/>
              <w:rPr>
                <w:rFonts w:ascii="宋体" w:hAnsi="宋体" w:eastAsia="宋体"/>
                <w:sz w:val="24"/>
              </w:rPr>
            </w:pPr>
          </w:p>
        </w:tc>
        <w:tc>
          <w:tcPr>
            <w:tcW w:w="1824" w:type="pct"/>
            <w:vAlign w:val="center"/>
          </w:tcPr>
          <w:p w14:paraId="3E4E6342">
            <w:pPr>
              <w:pStyle w:val="44"/>
              <w:ind w:left="-108"/>
              <w:jc w:val="center"/>
              <w:rPr>
                <w:rFonts w:ascii="宋体" w:hAnsi="宋体"/>
              </w:rPr>
            </w:pPr>
            <w:r>
              <w:rPr>
                <w:rFonts w:hint="eastAsia" w:ascii="宋体" w:hAnsi="宋体"/>
              </w:rPr>
              <w:t>其他费用</w:t>
            </w:r>
          </w:p>
        </w:tc>
        <w:tc>
          <w:tcPr>
            <w:tcW w:w="796" w:type="pct"/>
            <w:vAlign w:val="center"/>
          </w:tcPr>
          <w:p w14:paraId="3492BE5D">
            <w:pPr>
              <w:jc w:val="center"/>
              <w:rPr>
                <w:rFonts w:ascii="宋体" w:hAnsi="宋体" w:eastAsia="宋体"/>
                <w:sz w:val="24"/>
              </w:rPr>
            </w:pPr>
          </w:p>
        </w:tc>
        <w:tc>
          <w:tcPr>
            <w:tcW w:w="996" w:type="pct"/>
            <w:vAlign w:val="center"/>
          </w:tcPr>
          <w:p w14:paraId="55E5330A">
            <w:pPr>
              <w:jc w:val="center"/>
              <w:rPr>
                <w:rFonts w:ascii="宋体" w:hAnsi="宋体" w:eastAsia="宋体"/>
                <w:sz w:val="24"/>
              </w:rPr>
            </w:pPr>
          </w:p>
        </w:tc>
        <w:tc>
          <w:tcPr>
            <w:tcW w:w="920" w:type="pct"/>
            <w:vAlign w:val="center"/>
          </w:tcPr>
          <w:p w14:paraId="6CB56D16">
            <w:pPr>
              <w:jc w:val="center"/>
              <w:rPr>
                <w:rFonts w:ascii="宋体" w:hAnsi="宋体" w:eastAsia="宋体"/>
                <w:sz w:val="24"/>
              </w:rPr>
            </w:pPr>
          </w:p>
        </w:tc>
      </w:tr>
      <w:tr w14:paraId="26D3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64DFB75">
            <w:pPr>
              <w:jc w:val="center"/>
              <w:rPr>
                <w:rFonts w:ascii="宋体" w:hAnsi="宋体" w:eastAsia="宋体"/>
                <w:sz w:val="24"/>
              </w:rPr>
            </w:pPr>
          </w:p>
        </w:tc>
        <w:tc>
          <w:tcPr>
            <w:tcW w:w="1824" w:type="pct"/>
            <w:vAlign w:val="center"/>
          </w:tcPr>
          <w:p w14:paraId="06389FBE">
            <w:pPr>
              <w:jc w:val="center"/>
              <w:rPr>
                <w:rFonts w:ascii="宋体" w:hAnsi="宋体" w:eastAsia="宋体"/>
                <w:sz w:val="24"/>
              </w:rPr>
            </w:pPr>
            <w:r>
              <w:rPr>
                <w:rFonts w:ascii="宋体" w:hAnsi="宋体" w:eastAsia="宋体"/>
                <w:sz w:val="24"/>
              </w:rPr>
              <w:t>……</w:t>
            </w:r>
          </w:p>
        </w:tc>
        <w:tc>
          <w:tcPr>
            <w:tcW w:w="796" w:type="pct"/>
            <w:vAlign w:val="center"/>
          </w:tcPr>
          <w:p w14:paraId="5B5CCCAB">
            <w:pPr>
              <w:jc w:val="center"/>
              <w:rPr>
                <w:rFonts w:ascii="宋体" w:hAnsi="宋体" w:eastAsia="宋体"/>
                <w:sz w:val="24"/>
              </w:rPr>
            </w:pPr>
          </w:p>
        </w:tc>
        <w:tc>
          <w:tcPr>
            <w:tcW w:w="996" w:type="pct"/>
            <w:vAlign w:val="center"/>
          </w:tcPr>
          <w:p w14:paraId="4115AAE5">
            <w:pPr>
              <w:jc w:val="center"/>
              <w:rPr>
                <w:rFonts w:ascii="宋体" w:hAnsi="宋体" w:eastAsia="宋体"/>
                <w:sz w:val="24"/>
              </w:rPr>
            </w:pPr>
          </w:p>
        </w:tc>
        <w:tc>
          <w:tcPr>
            <w:tcW w:w="920" w:type="pct"/>
            <w:vAlign w:val="center"/>
          </w:tcPr>
          <w:p w14:paraId="7A3E7921">
            <w:pPr>
              <w:jc w:val="center"/>
              <w:rPr>
                <w:rFonts w:ascii="宋体" w:hAnsi="宋体" w:eastAsia="宋体"/>
                <w:sz w:val="24"/>
              </w:rPr>
            </w:pPr>
          </w:p>
        </w:tc>
      </w:tr>
      <w:tr w14:paraId="7A4D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488496B2">
            <w:pPr>
              <w:jc w:val="center"/>
              <w:rPr>
                <w:rFonts w:ascii="宋体" w:hAnsi="宋体" w:eastAsia="宋体"/>
                <w:sz w:val="24"/>
              </w:rPr>
            </w:pPr>
            <w:r>
              <w:rPr>
                <w:rFonts w:hint="eastAsia" w:ascii="宋体" w:hAnsi="宋体" w:eastAsia="宋体"/>
                <w:b/>
                <w:sz w:val="24"/>
              </w:rPr>
              <w:t>合计金额（元）</w:t>
            </w:r>
          </w:p>
        </w:tc>
        <w:tc>
          <w:tcPr>
            <w:tcW w:w="920" w:type="pct"/>
            <w:vAlign w:val="center"/>
          </w:tcPr>
          <w:p w14:paraId="5CB86EFD">
            <w:pPr>
              <w:jc w:val="center"/>
              <w:rPr>
                <w:rFonts w:ascii="宋体" w:hAnsi="宋体" w:eastAsia="宋体"/>
                <w:sz w:val="24"/>
              </w:rPr>
            </w:pPr>
          </w:p>
        </w:tc>
      </w:tr>
    </w:tbl>
    <w:p w14:paraId="6E97562B">
      <w:pPr>
        <w:spacing w:line="360" w:lineRule="auto"/>
        <w:ind w:firstLine="4800" w:firstLineChars="2000"/>
        <w:rPr>
          <w:rFonts w:ascii="宋体" w:hAnsi="宋体" w:eastAsia="宋体"/>
          <w:sz w:val="24"/>
        </w:rPr>
      </w:pPr>
      <w:r>
        <w:rPr>
          <w:rFonts w:hint="eastAsia" w:ascii="宋体" w:hAnsi="宋体" w:eastAsia="宋体"/>
          <w:sz w:val="24"/>
        </w:rPr>
        <w:t>供应商电子签章：</w:t>
      </w:r>
      <w:r>
        <w:rPr>
          <w:rFonts w:hint="eastAsia" w:ascii="宋体" w:hAnsi="宋体" w:eastAsia="宋体"/>
          <w:sz w:val="24"/>
          <w:u w:val="single"/>
        </w:rPr>
        <w:t xml:space="preserve">             </w:t>
      </w:r>
    </w:p>
    <w:p w14:paraId="63480122">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37DA5352">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52007537">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14:paraId="1B0B9439">
      <w:pPr>
        <w:widowControl/>
        <w:jc w:val="left"/>
        <w:rPr>
          <w:rFonts w:ascii="宋体" w:hAnsi="宋体" w:eastAsia="宋体"/>
          <w:b/>
          <w:bCs/>
          <w:sz w:val="24"/>
          <w:szCs w:val="28"/>
        </w:rPr>
      </w:pPr>
      <w:r>
        <w:rPr>
          <w:rFonts w:ascii="宋体" w:hAnsi="宋体" w:eastAsia="宋体"/>
          <w:b/>
          <w:bCs/>
          <w:sz w:val="24"/>
          <w:szCs w:val="28"/>
        </w:rPr>
        <w:br w:type="page"/>
      </w:r>
    </w:p>
    <w:p w14:paraId="022299EE">
      <w:pPr>
        <w:rPr>
          <w:sz w:val="18"/>
          <w:szCs w:val="18"/>
        </w:rPr>
      </w:pPr>
      <w:r>
        <w:rPr>
          <w:rFonts w:hint="eastAsia" w:ascii="宋体" w:hAnsi="宋体" w:eastAsia="仿宋_GB2312" w:cs="宋体"/>
          <w:b/>
          <w:bCs/>
          <w:szCs w:val="21"/>
        </w:rPr>
        <w:t xml:space="preserve">附件4 </w:t>
      </w:r>
      <w:r>
        <w:rPr>
          <w:rFonts w:hint="eastAsia" w:ascii="宋体" w:hAnsi="宋体"/>
          <w:b/>
          <w:sz w:val="30"/>
          <w:szCs w:val="30"/>
        </w:rPr>
        <w:t xml:space="preserve">        </w:t>
      </w:r>
    </w:p>
    <w:p w14:paraId="724BE638"/>
    <w:p w14:paraId="0E749446">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磋商响应函</w:t>
      </w:r>
    </w:p>
    <w:p w14:paraId="737A0695">
      <w:pPr>
        <w:pStyle w:val="16"/>
        <w:spacing w:line="360" w:lineRule="auto"/>
        <w:rPr>
          <w:rFonts w:ascii="宋体" w:hAnsi="宋体"/>
          <w:sz w:val="24"/>
        </w:rPr>
      </w:pPr>
      <w:r>
        <w:rPr>
          <w:rFonts w:hint="eastAsia" w:ascii="宋体" w:hAnsi="宋体"/>
          <w:sz w:val="24"/>
        </w:rPr>
        <w:t>致：采购人</w:t>
      </w:r>
    </w:p>
    <w:p w14:paraId="2C59F0C8">
      <w:pPr>
        <w:spacing w:line="360" w:lineRule="auto"/>
        <w:ind w:firstLine="480" w:firstLineChars="200"/>
        <w:rPr>
          <w:rFonts w:ascii="宋体" w:hAnsi="宋体" w:eastAsia="宋体"/>
          <w:dstrike/>
          <w:sz w:val="24"/>
          <w:highlight w:val="yellow"/>
        </w:rPr>
      </w:pPr>
      <w:r>
        <w:rPr>
          <w:rFonts w:hint="eastAsia" w:ascii="宋体" w:hAnsi="宋体" w:eastAsia="宋体"/>
          <w:sz w:val="24"/>
        </w:rPr>
        <w:t>根据贵方的</w:t>
      </w:r>
      <w:bookmarkStart w:id="282" w:name="_Hlk44287543"/>
      <w:r>
        <w:rPr>
          <w:rFonts w:hint="eastAsia" w:ascii="宋体" w:hAnsi="宋体" w:eastAsia="宋体"/>
          <w:sz w:val="24"/>
        </w:rPr>
        <w:t>竞争性磋商公告和磋商邀请</w:t>
      </w:r>
      <w:bookmarkEnd w:id="282"/>
      <w:r>
        <w:rPr>
          <w:rFonts w:hint="eastAsia" w:ascii="宋体" w:hAnsi="宋体" w:eastAsia="宋体"/>
          <w:sz w:val="24"/>
        </w:rPr>
        <w:t>，我方兹宣布同意如下：</w:t>
      </w:r>
    </w:p>
    <w:p w14:paraId="0AEF2C3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我方根据磋商文件的规定，严格履行合同的责任和义务,并保证于买方要求的日期内完成，并通过买方验收。</w:t>
      </w:r>
    </w:p>
    <w:p w14:paraId="0AFA6F8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2.我方已详细审核全部磋商文件，包括磋商文件附件及更正公告（如有），我方正式认可并遵守本次磋商文件，并对磋商文件各项条款、规定及要求均无异议。</w:t>
      </w:r>
    </w:p>
    <w:p w14:paraId="167C9FD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3.我方同意从磋商文件规定的磋商日期起遵循本磋商文件，并在磋商文件规定的磋商有效期之前均具有约束力。</w:t>
      </w:r>
    </w:p>
    <w:p w14:paraId="3F98A70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7C808C24">
      <w:pPr>
        <w:spacing w:line="360" w:lineRule="auto"/>
        <w:ind w:firstLine="480" w:firstLineChars="200"/>
        <w:rPr>
          <w:rFonts w:ascii="宋体" w:hAnsi="宋体" w:eastAsia="宋体"/>
          <w:sz w:val="24"/>
        </w:rPr>
      </w:pPr>
    </w:p>
    <w:p w14:paraId="64A3FF4E">
      <w:pPr>
        <w:spacing w:line="360" w:lineRule="auto"/>
        <w:ind w:firstLine="4800" w:firstLineChars="2000"/>
        <w:rPr>
          <w:rFonts w:ascii="宋体" w:hAnsi="宋体" w:eastAsia="宋体"/>
          <w:sz w:val="24"/>
        </w:rPr>
      </w:pPr>
      <w:r>
        <w:rPr>
          <w:rFonts w:hint="eastAsia" w:ascii="宋体" w:hAnsi="宋体" w:eastAsia="宋体"/>
          <w:sz w:val="24"/>
        </w:rPr>
        <w:t>供应商电子签章：</w:t>
      </w:r>
      <w:r>
        <w:rPr>
          <w:rFonts w:hint="eastAsia" w:ascii="宋体" w:hAnsi="宋体" w:eastAsia="宋体"/>
          <w:sz w:val="24"/>
          <w:u w:val="single"/>
        </w:rPr>
        <w:t xml:space="preserve">             </w:t>
      </w:r>
    </w:p>
    <w:p w14:paraId="6C80378D">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65D002AE">
      <w:pPr>
        <w:spacing w:line="360" w:lineRule="exact"/>
        <w:ind w:firstLine="443" w:firstLineChars="147"/>
        <w:rPr>
          <w:rFonts w:ascii="宋体" w:hAnsi="宋体"/>
          <w:b/>
          <w:sz w:val="30"/>
          <w:szCs w:val="30"/>
        </w:rPr>
      </w:pPr>
    </w:p>
    <w:p w14:paraId="45BCD7D7">
      <w:pPr>
        <w:spacing w:line="560" w:lineRule="atLeast"/>
        <w:jc w:val="left"/>
        <w:rPr>
          <w:rFonts w:ascii="宋体" w:hAnsi="宋体" w:eastAsia="仿宋_GB2312" w:cs="宋体"/>
          <w:b/>
          <w:bCs/>
          <w:szCs w:val="21"/>
        </w:rPr>
      </w:pPr>
      <w:r>
        <w:rPr>
          <w:rFonts w:hint="eastAsia" w:ascii="宋体" w:hAnsi="宋体" w:eastAsia="仿宋_GB2312" w:cs="宋体"/>
          <w:b/>
          <w:bCs/>
          <w:szCs w:val="21"/>
        </w:rPr>
        <w:t>附件5</w:t>
      </w:r>
    </w:p>
    <w:p w14:paraId="07BE460A">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磋商响应表</w:t>
      </w:r>
    </w:p>
    <w:p w14:paraId="5A6A6030">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9BA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C44A35A">
            <w:pPr>
              <w:pStyle w:val="15"/>
              <w:jc w:val="center"/>
              <w:rPr>
                <w:rFonts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1DA78197">
            <w:pPr>
              <w:pStyle w:val="15"/>
              <w:jc w:val="center"/>
              <w:rPr>
                <w:rFonts w:cs="Wingdings" w:asciiTheme="minorEastAsia" w:hAnsiTheme="minorEastAsia"/>
                <w:b/>
                <w:sz w:val="24"/>
              </w:rPr>
            </w:pPr>
            <w:r>
              <w:rPr>
                <w:rFonts w:hint="eastAsia" w:asciiTheme="minorEastAsia" w:hAnsiTheme="minorEastAsia"/>
                <w:b/>
                <w:bCs/>
                <w:sz w:val="24"/>
                <w:szCs w:val="24"/>
              </w:rPr>
              <w:t>商务条款</w:t>
            </w:r>
          </w:p>
        </w:tc>
        <w:tc>
          <w:tcPr>
            <w:tcW w:w="1465" w:type="pct"/>
            <w:vAlign w:val="center"/>
          </w:tcPr>
          <w:p w14:paraId="2E886DA7">
            <w:pPr>
              <w:pStyle w:val="15"/>
              <w:jc w:val="center"/>
              <w:rPr>
                <w:rFonts w:cs="Wingdings" w:asciiTheme="minorEastAsia" w:hAnsiTheme="minorEastAsia"/>
                <w:b/>
                <w:sz w:val="24"/>
              </w:rPr>
            </w:pPr>
            <w:r>
              <w:rPr>
                <w:rFonts w:hint="eastAsia" w:cs="Wingdings" w:asciiTheme="minorEastAsia" w:hAnsiTheme="minorEastAsia"/>
                <w:b/>
                <w:sz w:val="24"/>
              </w:rPr>
              <w:t>磋商文件要求</w:t>
            </w:r>
          </w:p>
        </w:tc>
        <w:tc>
          <w:tcPr>
            <w:tcW w:w="1510" w:type="pct"/>
            <w:vAlign w:val="center"/>
          </w:tcPr>
          <w:p w14:paraId="1272A4AB">
            <w:pPr>
              <w:pStyle w:val="15"/>
              <w:jc w:val="center"/>
              <w:rPr>
                <w:rFonts w:cs="Wingdings" w:asciiTheme="minorEastAsia" w:hAnsiTheme="minorEastAsia"/>
                <w:b/>
                <w:sz w:val="24"/>
              </w:rPr>
            </w:pPr>
            <w:r>
              <w:rPr>
                <w:rFonts w:hint="eastAsia" w:cs="Wingdings" w:asciiTheme="minorEastAsia" w:hAnsiTheme="minorEastAsia"/>
                <w:b/>
                <w:sz w:val="24"/>
              </w:rPr>
              <w:t>供应商承诺</w:t>
            </w:r>
          </w:p>
        </w:tc>
        <w:tc>
          <w:tcPr>
            <w:tcW w:w="475" w:type="pct"/>
            <w:vAlign w:val="center"/>
          </w:tcPr>
          <w:p w14:paraId="239C45EB">
            <w:pPr>
              <w:pStyle w:val="15"/>
              <w:jc w:val="center"/>
              <w:rPr>
                <w:rFonts w:cs="Wingdings" w:asciiTheme="minorEastAsia" w:hAnsiTheme="minorEastAsia"/>
                <w:b/>
                <w:sz w:val="24"/>
              </w:rPr>
            </w:pPr>
            <w:r>
              <w:rPr>
                <w:rFonts w:hint="eastAsia" w:cs="Wingdings" w:asciiTheme="minorEastAsia" w:hAnsiTheme="minorEastAsia"/>
                <w:b/>
                <w:sz w:val="24"/>
              </w:rPr>
              <w:t>偏离说明</w:t>
            </w:r>
          </w:p>
        </w:tc>
      </w:tr>
      <w:tr w14:paraId="3FF7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D8F771E">
            <w:pPr>
              <w:jc w:val="center"/>
              <w:rPr>
                <w:rFonts w:asciiTheme="minorEastAsia" w:hAnsiTheme="minorEastAsia" w:eastAsiaTheme="minorEastAsia"/>
                <w:sz w:val="24"/>
              </w:rPr>
            </w:pPr>
            <w:r>
              <w:rPr>
                <w:rFonts w:asciiTheme="minorEastAsia" w:hAnsiTheme="minorEastAsia" w:eastAsiaTheme="minorEastAsia"/>
                <w:sz w:val="24"/>
              </w:rPr>
              <w:t>1</w:t>
            </w:r>
          </w:p>
        </w:tc>
        <w:tc>
          <w:tcPr>
            <w:tcW w:w="1124" w:type="pct"/>
            <w:vAlign w:val="center"/>
          </w:tcPr>
          <w:p w14:paraId="53DE2E90">
            <w:pPr>
              <w:jc w:val="center"/>
              <w:rPr>
                <w:rFonts w:ascii="宋体" w:hAnsi="宋体" w:eastAsia="宋体"/>
                <w:sz w:val="24"/>
              </w:rPr>
            </w:pPr>
            <w:r>
              <w:rPr>
                <w:rFonts w:asciiTheme="minorEastAsia" w:hAnsiTheme="minorEastAsia" w:eastAsiaTheme="minorEastAsia"/>
                <w:sz w:val="24"/>
              </w:rPr>
              <w:t>付款方式</w:t>
            </w:r>
          </w:p>
        </w:tc>
        <w:tc>
          <w:tcPr>
            <w:tcW w:w="1465" w:type="pct"/>
            <w:vAlign w:val="center"/>
          </w:tcPr>
          <w:p w14:paraId="6B765D2A">
            <w:pPr>
              <w:jc w:val="center"/>
              <w:rPr>
                <w:rFonts w:asciiTheme="minorEastAsia" w:hAnsiTheme="minorEastAsia" w:eastAsiaTheme="minorEastAsia"/>
                <w:sz w:val="24"/>
              </w:rPr>
            </w:pPr>
          </w:p>
        </w:tc>
        <w:tc>
          <w:tcPr>
            <w:tcW w:w="1510" w:type="pct"/>
            <w:vAlign w:val="center"/>
          </w:tcPr>
          <w:p w14:paraId="0D542677">
            <w:pPr>
              <w:jc w:val="center"/>
              <w:rPr>
                <w:rFonts w:asciiTheme="minorEastAsia" w:hAnsiTheme="minorEastAsia" w:eastAsiaTheme="minorEastAsia"/>
                <w:sz w:val="24"/>
              </w:rPr>
            </w:pPr>
          </w:p>
        </w:tc>
        <w:tc>
          <w:tcPr>
            <w:tcW w:w="475" w:type="pct"/>
            <w:vAlign w:val="center"/>
          </w:tcPr>
          <w:p w14:paraId="40C17823">
            <w:pPr>
              <w:jc w:val="center"/>
              <w:rPr>
                <w:rFonts w:asciiTheme="minorEastAsia" w:hAnsiTheme="minorEastAsia" w:eastAsiaTheme="minorEastAsia"/>
                <w:sz w:val="24"/>
              </w:rPr>
            </w:pPr>
          </w:p>
        </w:tc>
      </w:tr>
      <w:tr w14:paraId="766A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081A48E">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124" w:type="pct"/>
            <w:vAlign w:val="center"/>
          </w:tcPr>
          <w:p w14:paraId="69B04DE2">
            <w:pPr>
              <w:jc w:val="center"/>
              <w:rPr>
                <w:rFonts w:ascii="宋体" w:hAnsi="宋体" w:eastAsia="宋体"/>
                <w:sz w:val="24"/>
              </w:rPr>
            </w:pPr>
            <w:r>
              <w:rPr>
                <w:rFonts w:hint="eastAsia" w:ascii="宋体" w:hAnsi="宋体" w:eastAsia="宋体"/>
                <w:sz w:val="24"/>
              </w:rPr>
              <w:t>服务地点</w:t>
            </w:r>
          </w:p>
        </w:tc>
        <w:tc>
          <w:tcPr>
            <w:tcW w:w="1465" w:type="pct"/>
            <w:vAlign w:val="center"/>
          </w:tcPr>
          <w:p w14:paraId="13BB0AEC">
            <w:pPr>
              <w:jc w:val="center"/>
              <w:rPr>
                <w:rFonts w:asciiTheme="minorEastAsia" w:hAnsiTheme="minorEastAsia" w:eastAsiaTheme="minorEastAsia"/>
                <w:sz w:val="24"/>
              </w:rPr>
            </w:pPr>
          </w:p>
        </w:tc>
        <w:tc>
          <w:tcPr>
            <w:tcW w:w="1510" w:type="pct"/>
            <w:vAlign w:val="center"/>
          </w:tcPr>
          <w:p w14:paraId="78C8FB8A">
            <w:pPr>
              <w:jc w:val="center"/>
              <w:rPr>
                <w:rFonts w:asciiTheme="minorEastAsia" w:hAnsiTheme="minorEastAsia" w:eastAsiaTheme="minorEastAsia"/>
                <w:sz w:val="24"/>
              </w:rPr>
            </w:pPr>
          </w:p>
        </w:tc>
        <w:tc>
          <w:tcPr>
            <w:tcW w:w="475" w:type="pct"/>
            <w:vAlign w:val="center"/>
          </w:tcPr>
          <w:p w14:paraId="51BC0C7A">
            <w:pPr>
              <w:jc w:val="center"/>
              <w:rPr>
                <w:rFonts w:asciiTheme="minorEastAsia" w:hAnsiTheme="minorEastAsia" w:eastAsiaTheme="minorEastAsia"/>
                <w:sz w:val="24"/>
              </w:rPr>
            </w:pPr>
          </w:p>
        </w:tc>
      </w:tr>
      <w:tr w14:paraId="21A7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52249B6">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124" w:type="pct"/>
            <w:vAlign w:val="center"/>
          </w:tcPr>
          <w:p w14:paraId="3AA5B976">
            <w:pPr>
              <w:jc w:val="center"/>
              <w:rPr>
                <w:rFonts w:ascii="宋体" w:hAnsi="宋体" w:eastAsia="宋体"/>
                <w:sz w:val="24"/>
              </w:rPr>
            </w:pPr>
            <w:r>
              <w:rPr>
                <w:rFonts w:hint="eastAsia" w:ascii="宋体" w:hAnsi="宋体" w:eastAsia="宋体"/>
                <w:sz w:val="24"/>
              </w:rPr>
              <w:t>服务期限</w:t>
            </w:r>
          </w:p>
        </w:tc>
        <w:tc>
          <w:tcPr>
            <w:tcW w:w="1465" w:type="pct"/>
            <w:vAlign w:val="center"/>
          </w:tcPr>
          <w:p w14:paraId="00544454">
            <w:pPr>
              <w:jc w:val="center"/>
              <w:rPr>
                <w:rFonts w:asciiTheme="minorEastAsia" w:hAnsiTheme="minorEastAsia" w:eastAsiaTheme="minorEastAsia"/>
                <w:sz w:val="24"/>
              </w:rPr>
            </w:pPr>
          </w:p>
        </w:tc>
        <w:tc>
          <w:tcPr>
            <w:tcW w:w="1510" w:type="pct"/>
            <w:vAlign w:val="center"/>
          </w:tcPr>
          <w:p w14:paraId="5C16337E">
            <w:pPr>
              <w:pStyle w:val="44"/>
              <w:jc w:val="center"/>
              <w:rPr>
                <w:rFonts w:asciiTheme="minorEastAsia" w:hAnsiTheme="minorEastAsia" w:eastAsiaTheme="minorEastAsia"/>
              </w:rPr>
            </w:pPr>
          </w:p>
        </w:tc>
        <w:tc>
          <w:tcPr>
            <w:tcW w:w="475" w:type="pct"/>
            <w:vAlign w:val="center"/>
          </w:tcPr>
          <w:p w14:paraId="18D92F71">
            <w:pPr>
              <w:jc w:val="center"/>
              <w:rPr>
                <w:rFonts w:asciiTheme="minorEastAsia" w:hAnsiTheme="minorEastAsia" w:eastAsiaTheme="minorEastAsia"/>
                <w:sz w:val="24"/>
              </w:rPr>
            </w:pPr>
          </w:p>
        </w:tc>
      </w:tr>
      <w:tr w14:paraId="7734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A16979E">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124" w:type="pct"/>
            <w:vAlign w:val="center"/>
          </w:tcPr>
          <w:p w14:paraId="2FD8FBA5">
            <w:pPr>
              <w:jc w:val="center"/>
              <w:rPr>
                <w:rFonts w:ascii="宋体" w:hAnsi="宋体" w:eastAsia="宋体"/>
                <w:sz w:val="24"/>
              </w:rPr>
            </w:pPr>
          </w:p>
        </w:tc>
        <w:tc>
          <w:tcPr>
            <w:tcW w:w="1465" w:type="pct"/>
            <w:vAlign w:val="center"/>
          </w:tcPr>
          <w:p w14:paraId="5DDB6965">
            <w:pPr>
              <w:jc w:val="center"/>
              <w:rPr>
                <w:rFonts w:asciiTheme="minorEastAsia" w:hAnsiTheme="minorEastAsia" w:eastAsiaTheme="minorEastAsia"/>
                <w:sz w:val="24"/>
              </w:rPr>
            </w:pPr>
          </w:p>
        </w:tc>
        <w:tc>
          <w:tcPr>
            <w:tcW w:w="1510" w:type="pct"/>
            <w:vAlign w:val="center"/>
          </w:tcPr>
          <w:p w14:paraId="01ED3D21">
            <w:pPr>
              <w:jc w:val="center"/>
              <w:rPr>
                <w:rFonts w:asciiTheme="minorEastAsia" w:hAnsiTheme="minorEastAsia" w:eastAsiaTheme="minorEastAsia"/>
                <w:sz w:val="24"/>
              </w:rPr>
            </w:pPr>
          </w:p>
        </w:tc>
        <w:tc>
          <w:tcPr>
            <w:tcW w:w="475" w:type="pct"/>
            <w:vAlign w:val="center"/>
          </w:tcPr>
          <w:p w14:paraId="2B09CC79">
            <w:pPr>
              <w:jc w:val="center"/>
              <w:rPr>
                <w:rFonts w:asciiTheme="minorEastAsia" w:hAnsiTheme="minorEastAsia" w:eastAsiaTheme="minorEastAsia"/>
                <w:sz w:val="24"/>
              </w:rPr>
            </w:pPr>
          </w:p>
        </w:tc>
      </w:tr>
    </w:tbl>
    <w:p w14:paraId="56CB3F6D">
      <w:pPr>
        <w:spacing w:line="400" w:lineRule="exact"/>
        <w:ind w:firstLine="480" w:firstLineChars="200"/>
        <w:rPr>
          <w:rFonts w:ascii="宋体" w:hAnsi="宋体" w:cs="宋体"/>
          <w:bCs/>
          <w:sz w:val="24"/>
          <w:szCs w:val="24"/>
        </w:rPr>
      </w:pPr>
    </w:p>
    <w:p w14:paraId="53E0FACA">
      <w:pPr>
        <w:spacing w:line="400" w:lineRule="exact"/>
        <w:ind w:firstLine="480" w:firstLineChars="200"/>
        <w:rPr>
          <w:rFonts w:ascii="宋体" w:hAnsi="宋体" w:cs="宋体"/>
          <w:bCs/>
          <w:sz w:val="24"/>
          <w:szCs w:val="24"/>
        </w:rPr>
      </w:pPr>
    </w:p>
    <w:p w14:paraId="2929C676">
      <w:pPr>
        <w:spacing w:line="400" w:lineRule="exact"/>
        <w:ind w:firstLine="480" w:firstLineChars="200"/>
        <w:rPr>
          <w:rFonts w:ascii="宋体" w:hAnsi="宋体" w:cs="宋体"/>
          <w:bCs/>
          <w:sz w:val="24"/>
          <w:szCs w:val="24"/>
        </w:rPr>
      </w:pPr>
    </w:p>
    <w:p w14:paraId="58B14286">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六、诚信履约承诺函</w:t>
      </w:r>
    </w:p>
    <w:p w14:paraId="1E3BFD7A">
      <w:pPr>
        <w:spacing w:line="360" w:lineRule="auto"/>
        <w:rPr>
          <w:rFonts w:asciiTheme="minorEastAsia" w:hAnsiTheme="minorEastAsia" w:eastAsiaTheme="minorEastAsia"/>
          <w:b/>
          <w:bCs/>
          <w:sz w:val="24"/>
        </w:rPr>
      </w:pPr>
    </w:p>
    <w:p w14:paraId="4477880F">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14:paraId="379FA65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95E3C89">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487EBB8B">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73913113">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40B9D30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10DE084A">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5A64EE5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ED0316">
      <w:pPr>
        <w:spacing w:line="360" w:lineRule="auto"/>
        <w:rPr>
          <w:rFonts w:asciiTheme="minorEastAsia" w:hAnsiTheme="minorEastAsia" w:eastAsiaTheme="minorEastAsia"/>
          <w:bCs/>
          <w:sz w:val="24"/>
        </w:rPr>
      </w:pPr>
    </w:p>
    <w:p w14:paraId="1BC7223C">
      <w:pPr>
        <w:spacing w:line="360" w:lineRule="auto"/>
        <w:rPr>
          <w:rFonts w:asciiTheme="minorEastAsia" w:hAnsiTheme="minorEastAsia" w:eastAsiaTheme="minorEastAsia"/>
          <w:bCs/>
          <w:sz w:val="24"/>
        </w:rPr>
      </w:pPr>
    </w:p>
    <w:p w14:paraId="4E077CD8">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供应商电子签章：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3A1EB000">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6D83DA14">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128E388D">
      <w:pPr>
        <w:spacing w:line="400" w:lineRule="exact"/>
        <w:ind w:firstLine="480" w:firstLineChars="200"/>
        <w:rPr>
          <w:rFonts w:ascii="宋体" w:hAnsi="宋体" w:cs="宋体"/>
          <w:bCs/>
          <w:sz w:val="24"/>
          <w:szCs w:val="24"/>
        </w:rPr>
      </w:pPr>
    </w:p>
    <w:p w14:paraId="6CB419C5">
      <w:pPr>
        <w:outlineLvl w:val="1"/>
        <w:rPr>
          <w:rFonts w:ascii="宋体" w:hAnsi="宋体" w:cs="宋体"/>
          <w:bCs/>
          <w:sz w:val="28"/>
          <w:szCs w:val="28"/>
        </w:rPr>
      </w:pPr>
      <w:bookmarkStart w:id="283" w:name="_Toc3054"/>
      <w:bookmarkStart w:id="284" w:name="_Toc32456"/>
      <w:bookmarkStart w:id="285" w:name="_Toc23475"/>
    </w:p>
    <w:p w14:paraId="219700A0">
      <w:pPr>
        <w:jc w:val="center"/>
        <w:outlineLvl w:val="1"/>
        <w:rPr>
          <w:rFonts w:ascii="宋体" w:hAnsi="宋体" w:eastAsia="宋体" w:cs="宋体"/>
          <w:bCs/>
          <w:sz w:val="44"/>
          <w:szCs w:val="44"/>
        </w:rPr>
      </w:pPr>
      <w:bookmarkStart w:id="286" w:name="_Toc19845"/>
      <w:bookmarkStart w:id="287" w:name="_Toc3702"/>
      <w:r>
        <w:rPr>
          <w:rFonts w:hint="eastAsia" w:ascii="宋体" w:hAnsi="宋体" w:eastAsia="宋体" w:cs="宋体"/>
          <w:bCs/>
          <w:sz w:val="44"/>
          <w:szCs w:val="44"/>
        </w:rPr>
        <w:t>技术响应文件</w:t>
      </w:r>
      <w:bookmarkEnd w:id="283"/>
      <w:bookmarkEnd w:id="284"/>
      <w:bookmarkEnd w:id="285"/>
      <w:bookmarkEnd w:id="286"/>
      <w:bookmarkEnd w:id="287"/>
    </w:p>
    <w:p w14:paraId="0995194D">
      <w:pPr>
        <w:jc w:val="center"/>
        <w:rPr>
          <w:rFonts w:ascii="宋体" w:hAnsi="宋体" w:eastAsia="宋体" w:cs="宋体"/>
          <w:bCs/>
          <w:sz w:val="44"/>
          <w:szCs w:val="44"/>
        </w:rPr>
      </w:pPr>
      <w:bookmarkStart w:id="288" w:name="_Toc14061"/>
      <w:bookmarkStart w:id="289" w:name="_Toc23957"/>
      <w:r>
        <w:rPr>
          <w:rFonts w:hint="eastAsia" w:ascii="宋体" w:hAnsi="宋体" w:eastAsia="宋体" w:cs="宋体"/>
          <w:bCs/>
          <w:sz w:val="44"/>
          <w:szCs w:val="44"/>
        </w:rPr>
        <w:t>（响应文件二）</w:t>
      </w:r>
      <w:bookmarkEnd w:id="288"/>
      <w:bookmarkEnd w:id="289"/>
    </w:p>
    <w:p w14:paraId="6EE0AD12">
      <w:pPr>
        <w:jc w:val="center"/>
        <w:rPr>
          <w:rFonts w:ascii="宋体" w:hAnsi="宋体" w:eastAsia="宋体" w:cs="宋体"/>
          <w:bCs/>
          <w:sz w:val="28"/>
          <w:szCs w:val="28"/>
        </w:rPr>
      </w:pPr>
    </w:p>
    <w:p w14:paraId="2BFFF6DC">
      <w:pPr>
        <w:jc w:val="center"/>
        <w:rPr>
          <w:rFonts w:ascii="宋体" w:hAnsi="宋体" w:eastAsia="宋体" w:cs="宋体"/>
          <w:bCs/>
          <w:sz w:val="28"/>
          <w:szCs w:val="28"/>
          <w:u w:val="single"/>
        </w:rPr>
      </w:pPr>
    </w:p>
    <w:p w14:paraId="5C7744BC">
      <w:pPr>
        <w:jc w:val="center"/>
        <w:rPr>
          <w:rFonts w:ascii="宋体" w:hAnsi="宋体" w:eastAsia="宋体" w:cs="宋体"/>
          <w:bCs/>
          <w:sz w:val="28"/>
          <w:szCs w:val="28"/>
        </w:rPr>
      </w:pPr>
      <w:r>
        <w:rPr>
          <w:rFonts w:hint="eastAsia" w:ascii="宋体" w:hAnsi="宋体" w:eastAsia="宋体" w:cs="宋体"/>
          <w:bCs/>
          <w:sz w:val="28"/>
          <w:szCs w:val="28"/>
          <w:u w:val="single"/>
        </w:rPr>
        <w:t xml:space="preserve">                       </w:t>
      </w:r>
      <w:bookmarkStart w:id="290" w:name="_Toc22176"/>
      <w:bookmarkStart w:id="291" w:name="_Toc5603"/>
      <w:r>
        <w:rPr>
          <w:rFonts w:hint="eastAsia" w:ascii="宋体" w:hAnsi="宋体" w:eastAsia="宋体" w:cs="宋体"/>
          <w:bCs/>
          <w:sz w:val="28"/>
          <w:szCs w:val="28"/>
        </w:rPr>
        <w:t>项目</w:t>
      </w:r>
      <w:bookmarkEnd w:id="290"/>
      <w:bookmarkEnd w:id="291"/>
    </w:p>
    <w:p w14:paraId="2E378A39">
      <w:pPr>
        <w:jc w:val="center"/>
        <w:rPr>
          <w:rFonts w:ascii="宋体" w:hAnsi="宋体" w:eastAsia="宋体" w:cs="宋体"/>
          <w:bCs/>
          <w:sz w:val="28"/>
          <w:szCs w:val="28"/>
          <w:u w:val="single"/>
        </w:rPr>
      </w:pPr>
      <w:bookmarkStart w:id="292" w:name="_Toc19877"/>
      <w:bookmarkStart w:id="293" w:name="_Toc25480"/>
      <w:r>
        <w:rPr>
          <w:rFonts w:hint="eastAsia" w:ascii="宋体" w:hAnsi="宋体" w:eastAsia="宋体" w:cs="宋体"/>
          <w:bCs/>
          <w:sz w:val="28"/>
          <w:szCs w:val="28"/>
        </w:rPr>
        <w:t>项目编号</w:t>
      </w:r>
      <w:bookmarkEnd w:id="292"/>
      <w:bookmarkEnd w:id="293"/>
      <w:r>
        <w:rPr>
          <w:rFonts w:hint="eastAsia" w:ascii="宋体" w:hAnsi="宋体" w:eastAsia="宋体" w:cs="宋体"/>
          <w:bCs/>
          <w:sz w:val="28"/>
          <w:szCs w:val="28"/>
          <w:u w:val="single"/>
        </w:rPr>
        <w:t xml:space="preserve">      </w:t>
      </w:r>
    </w:p>
    <w:p w14:paraId="0903C6CA">
      <w:pPr>
        <w:rPr>
          <w:rFonts w:ascii="宋体" w:hAnsi="宋体" w:eastAsia="宋体" w:cs="宋体"/>
          <w:bCs/>
          <w:sz w:val="28"/>
          <w:szCs w:val="28"/>
        </w:rPr>
      </w:pPr>
    </w:p>
    <w:p w14:paraId="5BE91CE3">
      <w:pPr>
        <w:rPr>
          <w:rFonts w:ascii="宋体" w:hAnsi="宋体" w:eastAsia="宋体" w:cs="宋体"/>
          <w:bCs/>
          <w:sz w:val="24"/>
          <w:szCs w:val="24"/>
        </w:rPr>
      </w:pPr>
    </w:p>
    <w:p w14:paraId="0A47376F">
      <w:pPr>
        <w:rPr>
          <w:rFonts w:ascii="宋体" w:hAnsi="宋体" w:eastAsia="宋体" w:cs="宋体"/>
          <w:bCs/>
          <w:sz w:val="24"/>
          <w:szCs w:val="24"/>
        </w:rPr>
      </w:pPr>
    </w:p>
    <w:p w14:paraId="4039E46D">
      <w:pPr>
        <w:rPr>
          <w:rFonts w:ascii="宋体" w:hAnsi="宋体" w:eastAsia="宋体" w:cs="宋体"/>
          <w:bCs/>
          <w:sz w:val="24"/>
          <w:szCs w:val="24"/>
        </w:rPr>
      </w:pPr>
    </w:p>
    <w:p w14:paraId="4082AC22">
      <w:pPr>
        <w:rPr>
          <w:rFonts w:ascii="宋体" w:hAnsi="宋体" w:eastAsia="宋体" w:cs="宋体"/>
          <w:bCs/>
          <w:sz w:val="24"/>
          <w:szCs w:val="24"/>
        </w:rPr>
      </w:pPr>
    </w:p>
    <w:p w14:paraId="6C11C9B4">
      <w:pPr>
        <w:rPr>
          <w:rFonts w:ascii="宋体" w:hAnsi="宋体" w:eastAsia="宋体" w:cs="宋体"/>
          <w:bCs/>
          <w:sz w:val="24"/>
          <w:szCs w:val="24"/>
        </w:rPr>
      </w:pPr>
    </w:p>
    <w:p w14:paraId="392C178C">
      <w:pPr>
        <w:rPr>
          <w:rFonts w:ascii="宋体" w:hAnsi="宋体" w:eastAsia="宋体" w:cs="宋体"/>
          <w:bCs/>
          <w:sz w:val="24"/>
          <w:szCs w:val="24"/>
        </w:rPr>
      </w:pPr>
    </w:p>
    <w:p w14:paraId="4D8DACC4">
      <w:pPr>
        <w:rPr>
          <w:rFonts w:ascii="宋体" w:hAnsi="宋体" w:eastAsia="宋体" w:cs="宋体"/>
          <w:bCs/>
          <w:sz w:val="24"/>
          <w:szCs w:val="24"/>
        </w:rPr>
      </w:pPr>
    </w:p>
    <w:p w14:paraId="77FA0C13">
      <w:pPr>
        <w:rPr>
          <w:rFonts w:ascii="宋体" w:hAnsi="宋体" w:eastAsia="宋体" w:cs="宋体"/>
          <w:bCs/>
          <w:sz w:val="24"/>
          <w:szCs w:val="24"/>
        </w:rPr>
      </w:pPr>
    </w:p>
    <w:p w14:paraId="5A2A866C">
      <w:pPr>
        <w:pStyle w:val="27"/>
        <w:ind w:firstLine="480"/>
        <w:rPr>
          <w:rFonts w:ascii="宋体" w:hAnsi="宋体" w:eastAsia="宋体" w:cs="宋体"/>
          <w:bCs/>
          <w:sz w:val="24"/>
        </w:rPr>
      </w:pPr>
    </w:p>
    <w:p w14:paraId="5012710B">
      <w:pPr>
        <w:rPr>
          <w:rFonts w:ascii="宋体" w:hAnsi="宋体" w:eastAsia="宋体" w:cs="宋体"/>
          <w:bCs/>
          <w:sz w:val="24"/>
          <w:szCs w:val="24"/>
        </w:rPr>
      </w:pPr>
    </w:p>
    <w:p w14:paraId="0F32E0E8">
      <w:pPr>
        <w:pStyle w:val="27"/>
        <w:rPr>
          <w:rFonts w:ascii="宋体" w:hAnsi="宋体" w:eastAsia="宋体" w:cs="宋体"/>
          <w:bCs/>
        </w:rPr>
      </w:pPr>
    </w:p>
    <w:p w14:paraId="26772342">
      <w:pPr>
        <w:rPr>
          <w:rFonts w:ascii="宋体" w:hAnsi="宋体" w:eastAsia="宋体" w:cs="宋体"/>
          <w:bCs/>
          <w:sz w:val="24"/>
          <w:szCs w:val="24"/>
        </w:rPr>
      </w:pPr>
    </w:p>
    <w:p w14:paraId="49886B42">
      <w:pPr>
        <w:spacing w:line="360" w:lineRule="auto"/>
        <w:jc w:val="center"/>
        <w:rPr>
          <w:rFonts w:ascii="宋体" w:hAnsi="宋体" w:eastAsia="宋体" w:cs="宋体"/>
          <w:bCs/>
          <w:sz w:val="28"/>
          <w:szCs w:val="28"/>
          <w:u w:val="single"/>
        </w:rPr>
      </w:pPr>
      <w:r>
        <w:rPr>
          <w:rFonts w:hint="eastAsia" w:ascii="宋体" w:hAnsi="宋体" w:eastAsia="宋体" w:cs="宋体"/>
          <w:bCs/>
          <w:sz w:val="28"/>
          <w:szCs w:val="28"/>
        </w:rPr>
        <w:t>供应商：</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（签章）</w:t>
      </w:r>
    </w:p>
    <w:p w14:paraId="664C28EE">
      <w:pPr>
        <w:spacing w:line="360" w:lineRule="auto"/>
        <w:jc w:val="center"/>
        <w:rPr>
          <w:rFonts w:ascii="宋体" w:hAnsi="宋体" w:eastAsia="宋体" w:cs="宋体"/>
          <w:bCs/>
          <w:sz w:val="28"/>
          <w:szCs w:val="28"/>
        </w:rPr>
      </w:pPr>
      <w:r>
        <w:rPr>
          <w:rFonts w:hint="eastAsia" w:ascii="宋体" w:hAnsi="宋体" w:eastAsia="宋体" w:cs="宋体"/>
          <w:bCs/>
          <w:sz w:val="28"/>
          <w:szCs w:val="28"/>
        </w:rPr>
        <w:t>法定代表人：</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（签章）</w:t>
      </w:r>
    </w:p>
    <w:p w14:paraId="17338DB1">
      <w:pPr>
        <w:spacing w:line="360" w:lineRule="auto"/>
        <w:jc w:val="center"/>
        <w:rPr>
          <w:rFonts w:ascii="宋体" w:hAnsi="宋体" w:eastAsia="宋体" w:cs="宋体"/>
          <w:bCs/>
          <w:sz w:val="28"/>
          <w:szCs w:val="28"/>
        </w:rPr>
      </w:pP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w:t>
      </w:r>
    </w:p>
    <w:p w14:paraId="71AD402B">
      <w:pPr>
        <w:rPr>
          <w:rFonts w:ascii="宋体" w:hAnsi="宋体" w:cs="宋体"/>
          <w:bCs/>
          <w:sz w:val="28"/>
          <w:szCs w:val="28"/>
        </w:rPr>
      </w:pPr>
    </w:p>
    <w:p w14:paraId="4268E4E9">
      <w:pPr>
        <w:jc w:val="center"/>
        <w:rPr>
          <w:rFonts w:ascii="宋体" w:hAnsi="宋体" w:cs="宋体"/>
          <w:bCs/>
          <w:sz w:val="28"/>
          <w:szCs w:val="28"/>
          <w:u w:val="single"/>
        </w:rPr>
      </w:pPr>
    </w:p>
    <w:p w14:paraId="7C6ACC26">
      <w:pPr>
        <w:spacing w:line="560" w:lineRule="atLeast"/>
        <w:jc w:val="left"/>
        <w:rPr>
          <w:rFonts w:ascii="宋体" w:hAnsi="宋体" w:cs="宋体"/>
          <w:b/>
          <w:sz w:val="28"/>
          <w:szCs w:val="28"/>
        </w:rPr>
      </w:pPr>
      <w:bookmarkStart w:id="294" w:name="_Toc8411"/>
      <w:bookmarkStart w:id="295" w:name="_Toc15399"/>
    </w:p>
    <w:p w14:paraId="64E241F3">
      <w:pPr>
        <w:pStyle w:val="27"/>
      </w:pPr>
    </w:p>
    <w:p w14:paraId="1FC38F9B">
      <w:pPr>
        <w:spacing w:line="500" w:lineRule="exact"/>
        <w:ind w:firstLine="477" w:firstLineChars="199"/>
        <w:jc w:val="center"/>
        <w:rPr>
          <w:rFonts w:ascii="宋体" w:hAnsi="宋体" w:eastAsia="宋体" w:cs="宋体"/>
          <w:bCs/>
          <w:sz w:val="24"/>
          <w:szCs w:val="24"/>
        </w:rPr>
      </w:pPr>
      <w:r>
        <w:rPr>
          <w:rFonts w:hint="eastAsia" w:ascii="宋体" w:hAnsi="宋体" w:eastAsia="宋体" w:cs="宋体"/>
          <w:bCs/>
          <w:sz w:val="24"/>
          <w:szCs w:val="24"/>
        </w:rPr>
        <w:t>目   录</w:t>
      </w:r>
      <w:bookmarkEnd w:id="294"/>
      <w:bookmarkEnd w:id="295"/>
    </w:p>
    <w:p w14:paraId="47386AF6">
      <w:pPr>
        <w:spacing w:line="500" w:lineRule="exact"/>
        <w:ind w:firstLine="417" w:firstLineChars="199"/>
        <w:rPr>
          <w:rFonts w:ascii="宋体" w:hAnsi="宋体" w:eastAsia="宋体" w:cs="宋体"/>
          <w:bCs/>
          <w:szCs w:val="21"/>
        </w:rPr>
      </w:pPr>
      <w:r>
        <w:rPr>
          <w:rFonts w:hint="eastAsia" w:ascii="宋体" w:hAnsi="宋体" w:eastAsia="宋体" w:cs="宋体"/>
          <w:bCs/>
          <w:szCs w:val="21"/>
        </w:rPr>
        <w:t>（1）技术标评审细则；</w:t>
      </w:r>
    </w:p>
    <w:p w14:paraId="12AB767E">
      <w:pPr>
        <w:spacing w:line="500" w:lineRule="exact"/>
        <w:ind w:firstLine="420" w:firstLineChars="200"/>
        <w:rPr>
          <w:rFonts w:ascii="宋体" w:hAnsi="宋体" w:eastAsia="宋体" w:cs="宋体"/>
          <w:bCs/>
          <w:szCs w:val="21"/>
        </w:rPr>
      </w:pPr>
      <w:r>
        <w:rPr>
          <w:rFonts w:hint="eastAsia" w:ascii="宋体" w:hAnsi="宋体" w:eastAsia="宋体" w:cs="宋体"/>
          <w:bCs/>
          <w:szCs w:val="21"/>
        </w:rPr>
        <w:t>（2）</w:t>
      </w:r>
      <w:r>
        <w:rPr>
          <w:rFonts w:hint="eastAsia" w:ascii="宋体" w:hAnsi="宋体" w:eastAsia="宋体" w:cs="宋体"/>
          <w:szCs w:val="21"/>
        </w:rPr>
        <w:t>供应商认为需要提供的其他技术证明材料。</w:t>
      </w:r>
    </w:p>
    <w:p w14:paraId="29D516BB">
      <w:pPr>
        <w:spacing w:line="440" w:lineRule="exact"/>
        <w:ind w:firstLine="420" w:firstLineChars="200"/>
        <w:jc w:val="left"/>
        <w:rPr>
          <w:rFonts w:ascii="宋体" w:hAnsi="宋体" w:eastAsia="宋体" w:cs="宋体"/>
          <w:bCs/>
          <w:szCs w:val="21"/>
        </w:rPr>
      </w:pPr>
    </w:p>
    <w:p w14:paraId="2A7E8188">
      <w:bookmarkStart w:id="296" w:name="OLE_LINK40"/>
    </w:p>
    <w:p w14:paraId="7B845BF6">
      <w:pPr>
        <w:pStyle w:val="27"/>
        <w:rPr>
          <w:rFonts w:ascii="Times New Roman" w:hAnsi="Times New Roman" w:eastAsia="宋体" w:cs="Times New Roman"/>
        </w:rPr>
      </w:pPr>
    </w:p>
    <w:p w14:paraId="4648FC35"/>
    <w:p w14:paraId="3787330C">
      <w:pPr>
        <w:pStyle w:val="27"/>
        <w:rPr>
          <w:rFonts w:ascii="Times New Roman" w:hAnsi="Times New Roman" w:eastAsia="宋体" w:cs="Times New Roman"/>
        </w:rPr>
      </w:pPr>
    </w:p>
    <w:p w14:paraId="06A0059E">
      <w:pPr>
        <w:pStyle w:val="27"/>
        <w:rPr>
          <w:rFonts w:ascii="Times New Roman" w:hAnsi="Times New Roman" w:eastAsia="宋体" w:cs="Times New Roman"/>
        </w:rPr>
      </w:pPr>
    </w:p>
    <w:p w14:paraId="71F75277"/>
    <w:p w14:paraId="32ACC665"/>
    <w:p w14:paraId="683AD252">
      <w:pPr>
        <w:pStyle w:val="27"/>
        <w:rPr>
          <w:rFonts w:ascii="Times New Roman" w:hAnsi="Times New Roman" w:eastAsia="宋体" w:cs="Times New Roman"/>
        </w:rPr>
      </w:pPr>
    </w:p>
    <w:p w14:paraId="4B6A3CC8"/>
    <w:bookmarkEnd w:id="296"/>
    <w:p w14:paraId="6CB3A7C1">
      <w:pPr>
        <w:pStyle w:val="27"/>
        <w:rPr>
          <w:rFonts w:ascii="Times New Roman" w:hAnsi="Times New Roman" w:eastAsia="宋体" w:cs="Times New Roman"/>
        </w:rPr>
      </w:pPr>
    </w:p>
    <w:p w14:paraId="558DD840">
      <w:pPr>
        <w:pStyle w:val="27"/>
        <w:rPr>
          <w:rFonts w:ascii="Times New Roman" w:hAnsi="Times New Roman" w:eastAsia="宋体" w:cs="Times New Roman"/>
        </w:rPr>
      </w:pPr>
    </w:p>
    <w:p w14:paraId="50C64B8A">
      <w:pPr>
        <w:pStyle w:val="27"/>
        <w:rPr>
          <w:rFonts w:ascii="Times New Roman" w:hAnsi="Times New Roman" w:eastAsia="宋体" w:cs="Times New Roman"/>
        </w:rPr>
      </w:pPr>
      <w:bookmarkStart w:id="297" w:name="_Toc27525"/>
      <w:bookmarkStart w:id="298" w:name="_Toc13025"/>
      <w:bookmarkStart w:id="299" w:name="_Toc24418"/>
    </w:p>
    <w:p w14:paraId="30F16146">
      <w:pPr>
        <w:pStyle w:val="27"/>
        <w:ind w:firstLine="880"/>
        <w:rPr>
          <w:rFonts w:ascii="宋体" w:hAnsi="宋体" w:cs="宋体"/>
          <w:bCs/>
          <w:sz w:val="44"/>
          <w:szCs w:val="44"/>
        </w:rPr>
      </w:pPr>
    </w:p>
    <w:p w14:paraId="1C7207CF">
      <w:pPr>
        <w:jc w:val="center"/>
        <w:outlineLvl w:val="1"/>
        <w:rPr>
          <w:rFonts w:ascii="宋体" w:hAnsi="宋体" w:cs="宋体"/>
          <w:sz w:val="44"/>
          <w:szCs w:val="44"/>
        </w:rPr>
      </w:pPr>
      <w:bookmarkStart w:id="300" w:name="_Toc22134"/>
      <w:r>
        <w:rPr>
          <w:rFonts w:hint="eastAsia" w:ascii="宋体" w:hAnsi="宋体" w:cs="宋体"/>
          <w:sz w:val="44"/>
          <w:szCs w:val="44"/>
        </w:rPr>
        <w:br w:type="page"/>
      </w:r>
    </w:p>
    <w:p w14:paraId="1A9CF054">
      <w:pPr>
        <w:jc w:val="center"/>
        <w:outlineLvl w:val="1"/>
        <w:rPr>
          <w:rFonts w:ascii="宋体" w:hAnsi="宋体" w:eastAsia="宋体" w:cs="宋体"/>
          <w:sz w:val="44"/>
          <w:szCs w:val="44"/>
        </w:rPr>
      </w:pPr>
      <w:bookmarkStart w:id="301" w:name="_Toc12137"/>
      <w:r>
        <w:rPr>
          <w:rFonts w:hint="eastAsia" w:ascii="宋体" w:hAnsi="宋体" w:eastAsia="宋体" w:cs="宋体"/>
          <w:sz w:val="44"/>
          <w:szCs w:val="44"/>
        </w:rPr>
        <w:t>商务响应文件</w:t>
      </w:r>
      <w:bookmarkEnd w:id="297"/>
      <w:bookmarkEnd w:id="298"/>
      <w:bookmarkEnd w:id="299"/>
      <w:bookmarkEnd w:id="300"/>
      <w:bookmarkEnd w:id="301"/>
    </w:p>
    <w:p w14:paraId="47763E8E">
      <w:pPr>
        <w:jc w:val="center"/>
        <w:rPr>
          <w:rFonts w:ascii="宋体" w:hAnsi="宋体" w:eastAsia="宋体" w:cs="宋体"/>
          <w:sz w:val="44"/>
          <w:szCs w:val="44"/>
        </w:rPr>
      </w:pPr>
      <w:bookmarkStart w:id="302" w:name="_Toc20821"/>
      <w:bookmarkStart w:id="303" w:name="_Toc9565"/>
      <w:r>
        <w:rPr>
          <w:rFonts w:hint="eastAsia" w:ascii="宋体" w:hAnsi="宋体" w:eastAsia="宋体" w:cs="宋体"/>
          <w:sz w:val="44"/>
          <w:szCs w:val="44"/>
        </w:rPr>
        <w:t>（响应文件三）</w:t>
      </w:r>
      <w:bookmarkEnd w:id="302"/>
      <w:bookmarkEnd w:id="303"/>
    </w:p>
    <w:p w14:paraId="70CE59DE">
      <w:pPr>
        <w:jc w:val="center"/>
        <w:rPr>
          <w:rFonts w:ascii="宋体" w:hAnsi="宋体" w:eastAsia="宋体" w:cs="宋体"/>
          <w:sz w:val="28"/>
          <w:szCs w:val="28"/>
          <w:u w:val="single"/>
        </w:rPr>
      </w:pPr>
    </w:p>
    <w:p w14:paraId="5F687BA2">
      <w:pPr>
        <w:jc w:val="center"/>
        <w:rPr>
          <w:rFonts w:ascii="宋体" w:hAnsi="宋体" w:eastAsia="宋体" w:cs="宋体"/>
          <w:sz w:val="28"/>
          <w:szCs w:val="28"/>
          <w:u w:val="single"/>
        </w:rPr>
      </w:pPr>
    </w:p>
    <w:p w14:paraId="50613BAE">
      <w:pPr>
        <w:jc w:val="center"/>
        <w:rPr>
          <w:rFonts w:ascii="宋体" w:hAnsi="宋体" w:eastAsia="宋体" w:cs="宋体"/>
          <w:sz w:val="28"/>
          <w:szCs w:val="28"/>
        </w:rPr>
      </w:pPr>
      <w:r>
        <w:rPr>
          <w:rFonts w:hint="eastAsia" w:ascii="宋体" w:hAnsi="宋体" w:eastAsia="宋体" w:cs="宋体"/>
          <w:sz w:val="28"/>
          <w:szCs w:val="28"/>
          <w:u w:val="single"/>
        </w:rPr>
        <w:t xml:space="preserve">                            </w:t>
      </w:r>
      <w:bookmarkStart w:id="304" w:name="_Toc12148"/>
      <w:bookmarkStart w:id="305" w:name="_Toc431"/>
      <w:r>
        <w:rPr>
          <w:rFonts w:hint="eastAsia" w:ascii="宋体" w:hAnsi="宋体" w:eastAsia="宋体" w:cs="宋体"/>
          <w:sz w:val="28"/>
          <w:szCs w:val="28"/>
        </w:rPr>
        <w:t>项目名称</w:t>
      </w:r>
      <w:bookmarkEnd w:id="304"/>
      <w:bookmarkEnd w:id="305"/>
    </w:p>
    <w:p w14:paraId="1BA1AA0C">
      <w:pPr>
        <w:jc w:val="center"/>
        <w:rPr>
          <w:rFonts w:ascii="宋体" w:hAnsi="宋体" w:eastAsia="宋体" w:cs="宋体"/>
          <w:sz w:val="28"/>
          <w:szCs w:val="28"/>
        </w:rPr>
      </w:pPr>
      <w:bookmarkStart w:id="306" w:name="_Toc15003"/>
      <w:bookmarkStart w:id="307" w:name="_Toc6111"/>
      <w:r>
        <w:rPr>
          <w:rFonts w:hint="eastAsia" w:ascii="宋体" w:hAnsi="宋体" w:eastAsia="宋体" w:cs="宋体"/>
          <w:sz w:val="28"/>
          <w:szCs w:val="28"/>
        </w:rPr>
        <w:t>项目编号</w:t>
      </w:r>
      <w:bookmarkEnd w:id="306"/>
      <w:bookmarkEnd w:id="307"/>
      <w:r>
        <w:rPr>
          <w:rFonts w:hint="eastAsia" w:ascii="宋体" w:hAnsi="宋体" w:eastAsia="宋体" w:cs="宋体"/>
          <w:sz w:val="28"/>
          <w:szCs w:val="28"/>
          <w:u w:val="single"/>
        </w:rPr>
        <w:t xml:space="preserve">            </w:t>
      </w:r>
    </w:p>
    <w:p w14:paraId="3CE649EA">
      <w:pPr>
        <w:rPr>
          <w:rFonts w:ascii="宋体" w:hAnsi="宋体" w:eastAsia="宋体" w:cs="宋体"/>
          <w:sz w:val="24"/>
          <w:szCs w:val="24"/>
        </w:rPr>
      </w:pPr>
    </w:p>
    <w:p w14:paraId="7FF032D2">
      <w:pPr>
        <w:rPr>
          <w:rFonts w:ascii="宋体" w:hAnsi="宋体" w:eastAsia="宋体" w:cs="宋体"/>
          <w:sz w:val="24"/>
          <w:szCs w:val="24"/>
        </w:rPr>
      </w:pPr>
    </w:p>
    <w:p w14:paraId="4032FFAC">
      <w:pPr>
        <w:rPr>
          <w:rFonts w:ascii="宋体" w:hAnsi="宋体" w:eastAsia="宋体" w:cs="宋体"/>
          <w:sz w:val="24"/>
          <w:szCs w:val="24"/>
        </w:rPr>
      </w:pPr>
    </w:p>
    <w:p w14:paraId="327B1FAB">
      <w:pPr>
        <w:rPr>
          <w:rFonts w:ascii="宋体" w:hAnsi="宋体" w:eastAsia="宋体" w:cs="宋体"/>
          <w:sz w:val="24"/>
          <w:szCs w:val="24"/>
        </w:rPr>
      </w:pPr>
    </w:p>
    <w:p w14:paraId="69A3A8E5">
      <w:pPr>
        <w:rPr>
          <w:rFonts w:ascii="宋体" w:hAnsi="宋体" w:eastAsia="宋体" w:cs="宋体"/>
          <w:sz w:val="24"/>
          <w:szCs w:val="24"/>
        </w:rPr>
      </w:pPr>
    </w:p>
    <w:p w14:paraId="186ED7BF">
      <w:pPr>
        <w:rPr>
          <w:rFonts w:ascii="宋体" w:hAnsi="宋体" w:eastAsia="宋体" w:cs="宋体"/>
          <w:sz w:val="24"/>
          <w:szCs w:val="24"/>
        </w:rPr>
      </w:pPr>
    </w:p>
    <w:p w14:paraId="3FF59302">
      <w:pPr>
        <w:rPr>
          <w:rFonts w:ascii="宋体" w:hAnsi="宋体" w:eastAsia="宋体" w:cs="宋体"/>
          <w:sz w:val="24"/>
          <w:szCs w:val="24"/>
        </w:rPr>
      </w:pPr>
    </w:p>
    <w:p w14:paraId="296B4C50">
      <w:pPr>
        <w:rPr>
          <w:rFonts w:ascii="宋体" w:hAnsi="宋体" w:eastAsia="宋体" w:cs="宋体"/>
          <w:sz w:val="24"/>
          <w:szCs w:val="24"/>
        </w:rPr>
      </w:pPr>
    </w:p>
    <w:p w14:paraId="20A74D16">
      <w:pPr>
        <w:rPr>
          <w:rFonts w:ascii="宋体" w:hAnsi="宋体" w:eastAsia="宋体" w:cs="宋体"/>
          <w:sz w:val="24"/>
          <w:szCs w:val="24"/>
        </w:rPr>
      </w:pPr>
    </w:p>
    <w:p w14:paraId="767E7537">
      <w:pPr>
        <w:rPr>
          <w:rFonts w:ascii="宋体" w:hAnsi="宋体" w:eastAsia="宋体" w:cs="宋体"/>
          <w:sz w:val="24"/>
          <w:szCs w:val="24"/>
        </w:rPr>
      </w:pPr>
    </w:p>
    <w:p w14:paraId="6706431B">
      <w:pPr>
        <w:pStyle w:val="27"/>
        <w:ind w:firstLine="480"/>
        <w:rPr>
          <w:rFonts w:ascii="宋体" w:hAnsi="宋体" w:eastAsia="宋体" w:cs="宋体"/>
          <w:sz w:val="24"/>
        </w:rPr>
      </w:pPr>
    </w:p>
    <w:p w14:paraId="7F17E951">
      <w:pPr>
        <w:rPr>
          <w:rFonts w:ascii="宋体" w:hAnsi="宋体" w:eastAsia="宋体" w:cs="宋体"/>
          <w:sz w:val="24"/>
          <w:szCs w:val="24"/>
        </w:rPr>
      </w:pPr>
    </w:p>
    <w:p w14:paraId="71A46ADF">
      <w:pPr>
        <w:pStyle w:val="27"/>
        <w:ind w:firstLine="480"/>
        <w:rPr>
          <w:rFonts w:ascii="宋体" w:hAnsi="宋体" w:eastAsia="宋体" w:cs="宋体"/>
          <w:sz w:val="24"/>
        </w:rPr>
      </w:pPr>
    </w:p>
    <w:p w14:paraId="6F03CDFC">
      <w:pPr>
        <w:rPr>
          <w:rFonts w:ascii="宋体" w:hAnsi="宋体" w:eastAsia="宋体" w:cs="宋体"/>
          <w:sz w:val="24"/>
          <w:szCs w:val="24"/>
        </w:rPr>
      </w:pPr>
    </w:p>
    <w:p w14:paraId="159F3720">
      <w:pPr>
        <w:pStyle w:val="27"/>
        <w:rPr>
          <w:rFonts w:ascii="宋体" w:hAnsi="宋体" w:eastAsia="宋体" w:cs="宋体"/>
        </w:rPr>
      </w:pPr>
    </w:p>
    <w:p w14:paraId="53D031A8">
      <w:pPr>
        <w:rPr>
          <w:rFonts w:ascii="宋体" w:hAnsi="宋体" w:eastAsia="宋体" w:cs="宋体"/>
          <w:sz w:val="24"/>
          <w:szCs w:val="24"/>
        </w:rPr>
      </w:pPr>
    </w:p>
    <w:p w14:paraId="344096A8">
      <w:pPr>
        <w:rPr>
          <w:rFonts w:ascii="宋体" w:hAnsi="宋体" w:eastAsia="宋体" w:cs="宋体"/>
          <w:sz w:val="28"/>
          <w:szCs w:val="28"/>
        </w:rPr>
      </w:pPr>
    </w:p>
    <w:p w14:paraId="3C67CB97">
      <w:pPr>
        <w:jc w:val="center"/>
        <w:rPr>
          <w:rFonts w:ascii="宋体" w:hAnsi="宋体" w:eastAsia="宋体" w:cs="宋体"/>
          <w:sz w:val="28"/>
          <w:szCs w:val="28"/>
          <w:u w:val="single"/>
        </w:rPr>
      </w:pPr>
      <w:bookmarkStart w:id="308" w:name="_Toc16638"/>
      <w:bookmarkStart w:id="309" w:name="_Toc14903"/>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bookmarkEnd w:id="308"/>
      <w:bookmarkEnd w:id="309"/>
    </w:p>
    <w:p w14:paraId="14E49BD7">
      <w:pPr>
        <w:jc w:val="center"/>
        <w:rPr>
          <w:rFonts w:ascii="宋体" w:hAnsi="宋体" w:eastAsia="宋体" w:cs="宋体"/>
          <w:sz w:val="28"/>
          <w:szCs w:val="28"/>
        </w:rPr>
      </w:pPr>
      <w:bookmarkStart w:id="310" w:name="_Toc21658"/>
      <w:bookmarkStart w:id="311" w:name="_Toc18077"/>
      <w:r>
        <w:rPr>
          <w:rFonts w:hint="eastAsia" w:ascii="宋体" w:hAnsi="宋体" w:eastAsia="宋体" w:cs="宋体"/>
          <w:sz w:val="28"/>
          <w:szCs w:val="28"/>
        </w:rPr>
        <w:t>法定代表人 ：</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bookmarkEnd w:id="310"/>
      <w:bookmarkEnd w:id="311"/>
    </w:p>
    <w:p w14:paraId="4B961781">
      <w:pPr>
        <w:jc w:val="center"/>
        <w:rPr>
          <w:rFonts w:ascii="宋体" w:hAnsi="宋体" w:eastAsia="宋体" w:cs="宋体"/>
          <w:sz w:val="28"/>
          <w:szCs w:val="28"/>
        </w:rPr>
      </w:pPr>
      <w:r>
        <w:rPr>
          <w:rFonts w:hint="eastAsia" w:ascii="宋体" w:hAnsi="宋体" w:eastAsia="宋体" w:cs="宋体"/>
          <w:sz w:val="28"/>
          <w:szCs w:val="28"/>
          <w:u w:val="single"/>
        </w:rPr>
        <w:t xml:space="preserve">        </w:t>
      </w:r>
      <w:bookmarkStart w:id="312" w:name="_Toc1186"/>
      <w:bookmarkStart w:id="313" w:name="_Toc24986"/>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End w:id="312"/>
      <w:bookmarkEnd w:id="313"/>
    </w:p>
    <w:p w14:paraId="122DE4D2">
      <w:pPr>
        <w:spacing w:line="720" w:lineRule="auto"/>
        <w:jc w:val="center"/>
        <w:rPr>
          <w:rFonts w:ascii="宋体" w:hAnsi="宋体" w:eastAsia="宋体" w:cs="宋体"/>
          <w:b/>
          <w:sz w:val="24"/>
          <w:szCs w:val="24"/>
        </w:rPr>
      </w:pPr>
    </w:p>
    <w:p w14:paraId="5C169F02">
      <w:pPr>
        <w:spacing w:line="600" w:lineRule="exact"/>
        <w:ind w:firstLine="4298" w:firstLineChars="1535"/>
        <w:rPr>
          <w:rFonts w:ascii="宋体" w:hAnsi="宋体" w:eastAsia="宋体" w:cs="宋体"/>
          <w:bCs/>
          <w:sz w:val="28"/>
          <w:szCs w:val="28"/>
        </w:rPr>
      </w:pPr>
      <w:bookmarkStart w:id="314" w:name="_Toc11427"/>
      <w:bookmarkStart w:id="315" w:name="_Toc27273"/>
      <w:r>
        <w:rPr>
          <w:rFonts w:hint="eastAsia" w:ascii="宋体" w:hAnsi="宋体" w:eastAsia="宋体" w:cs="宋体"/>
          <w:bCs/>
          <w:sz w:val="28"/>
          <w:szCs w:val="28"/>
        </w:rPr>
        <w:br w:type="page"/>
      </w:r>
      <w:r>
        <w:rPr>
          <w:rFonts w:hint="eastAsia" w:ascii="宋体" w:hAnsi="宋体" w:eastAsia="宋体" w:cs="宋体"/>
          <w:bCs/>
          <w:sz w:val="28"/>
          <w:szCs w:val="28"/>
        </w:rPr>
        <w:t>目   录</w:t>
      </w:r>
      <w:bookmarkEnd w:id="314"/>
      <w:bookmarkEnd w:id="315"/>
    </w:p>
    <w:p w14:paraId="277D4D83">
      <w:pPr>
        <w:spacing w:line="400" w:lineRule="exact"/>
        <w:ind w:firstLine="2244" w:firstLineChars="935"/>
        <w:rPr>
          <w:rFonts w:ascii="宋体" w:hAnsi="宋体" w:eastAsia="宋体" w:cs="宋体"/>
          <w:bCs/>
          <w:sz w:val="24"/>
          <w:szCs w:val="24"/>
        </w:rPr>
      </w:pPr>
    </w:p>
    <w:p w14:paraId="018F42D7">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（1）响应报价一览表（格式见附件）；</w:t>
      </w:r>
    </w:p>
    <w:p w14:paraId="1385B9A1">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（2）响应函（格式见附件）；</w:t>
      </w:r>
    </w:p>
    <w:p w14:paraId="09C29FD0">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（3）供应商认为需要提供的相关证明材料。</w:t>
      </w:r>
    </w:p>
    <w:p w14:paraId="25EDB1A7">
      <w:pPr>
        <w:spacing w:line="400" w:lineRule="exact"/>
        <w:ind w:firstLine="480" w:firstLineChars="200"/>
        <w:rPr>
          <w:rFonts w:ascii="宋体" w:hAnsi="宋体" w:eastAsia="宋体" w:cs="宋体"/>
          <w:bCs/>
          <w:sz w:val="24"/>
          <w:szCs w:val="24"/>
        </w:rPr>
      </w:pPr>
    </w:p>
    <w:p w14:paraId="1076CDCC">
      <w:pPr>
        <w:spacing w:line="400" w:lineRule="exact"/>
        <w:ind w:firstLine="480" w:firstLineChars="200"/>
        <w:rPr>
          <w:rFonts w:ascii="宋体" w:hAnsi="宋体" w:eastAsia="宋体" w:cs="宋体"/>
          <w:bCs/>
          <w:sz w:val="24"/>
          <w:szCs w:val="24"/>
        </w:rPr>
      </w:pPr>
    </w:p>
    <w:p w14:paraId="75D652EA">
      <w:pPr>
        <w:rPr>
          <w:rFonts w:ascii="宋体" w:hAnsi="宋体" w:eastAsia="宋体" w:cs="宋体"/>
          <w:bCs/>
          <w:sz w:val="24"/>
          <w:szCs w:val="24"/>
        </w:rPr>
      </w:pPr>
    </w:p>
    <w:p w14:paraId="57A1C4B5">
      <w:pPr>
        <w:jc w:val="center"/>
        <w:rPr>
          <w:rFonts w:ascii="宋体" w:hAnsi="宋体" w:eastAsia="宋体" w:cs="宋体"/>
          <w:bCs/>
          <w:sz w:val="24"/>
          <w:szCs w:val="24"/>
        </w:rPr>
      </w:pPr>
    </w:p>
    <w:p w14:paraId="4311635B">
      <w:pPr>
        <w:rPr>
          <w:rFonts w:ascii="宋体" w:hAnsi="宋体" w:eastAsia="宋体" w:cs="宋体"/>
          <w:bCs/>
          <w:sz w:val="24"/>
          <w:szCs w:val="24"/>
        </w:rPr>
      </w:pPr>
    </w:p>
    <w:p w14:paraId="61EECF05">
      <w:pPr>
        <w:jc w:val="center"/>
        <w:rPr>
          <w:rFonts w:ascii="宋体" w:hAnsi="宋体" w:eastAsia="宋体" w:cs="宋体"/>
          <w:bCs/>
          <w:sz w:val="24"/>
          <w:szCs w:val="24"/>
        </w:rPr>
      </w:pPr>
    </w:p>
    <w:p w14:paraId="0E0720D5">
      <w:pPr>
        <w:jc w:val="center"/>
        <w:rPr>
          <w:rFonts w:ascii="宋体" w:hAnsi="宋体" w:eastAsia="宋体" w:cs="宋体"/>
          <w:bCs/>
          <w:sz w:val="24"/>
          <w:szCs w:val="24"/>
        </w:rPr>
      </w:pPr>
    </w:p>
    <w:p w14:paraId="29DFFF77">
      <w:pPr>
        <w:snapToGrid w:val="0"/>
        <w:spacing w:line="460" w:lineRule="exact"/>
        <w:ind w:left="2940" w:leftChars="1400" w:firstLine="720" w:firstLineChars="300"/>
        <w:rPr>
          <w:rFonts w:ascii="宋体" w:hAnsi="宋体" w:eastAsia="宋体" w:cs="宋体"/>
          <w:bCs/>
          <w:sz w:val="24"/>
          <w:szCs w:val="24"/>
        </w:rPr>
      </w:pPr>
    </w:p>
    <w:p w14:paraId="25B6FB51">
      <w:pPr>
        <w:snapToGrid w:val="0"/>
        <w:spacing w:line="460" w:lineRule="exact"/>
        <w:ind w:left="2940" w:leftChars="1400" w:firstLine="720" w:firstLineChars="300"/>
        <w:rPr>
          <w:rFonts w:ascii="宋体" w:hAnsi="宋体" w:cs="宋体"/>
          <w:bCs/>
          <w:sz w:val="24"/>
          <w:szCs w:val="24"/>
        </w:rPr>
      </w:pPr>
    </w:p>
    <w:p w14:paraId="7DF473AA">
      <w:pPr>
        <w:snapToGrid w:val="0"/>
        <w:spacing w:line="460" w:lineRule="exact"/>
        <w:ind w:left="2940" w:leftChars="1400" w:firstLine="720" w:firstLineChars="300"/>
        <w:rPr>
          <w:rFonts w:ascii="宋体" w:hAnsi="宋体" w:cs="宋体"/>
          <w:bCs/>
          <w:sz w:val="24"/>
          <w:szCs w:val="24"/>
        </w:rPr>
      </w:pPr>
    </w:p>
    <w:p w14:paraId="3B3DC9DF">
      <w:pPr>
        <w:snapToGrid w:val="0"/>
        <w:spacing w:line="460" w:lineRule="exact"/>
        <w:ind w:left="2940" w:leftChars="1400" w:firstLine="720" w:firstLineChars="300"/>
        <w:rPr>
          <w:rFonts w:ascii="宋体" w:hAnsi="宋体" w:cs="宋体"/>
          <w:bCs/>
          <w:sz w:val="24"/>
          <w:szCs w:val="24"/>
        </w:rPr>
      </w:pPr>
    </w:p>
    <w:p w14:paraId="4671C2DE">
      <w:pPr>
        <w:snapToGrid w:val="0"/>
        <w:spacing w:line="460" w:lineRule="exact"/>
        <w:ind w:left="2940" w:leftChars="1400" w:firstLine="720" w:firstLineChars="300"/>
        <w:rPr>
          <w:rFonts w:ascii="宋体" w:hAnsi="宋体" w:cs="宋体"/>
          <w:bCs/>
          <w:sz w:val="24"/>
          <w:szCs w:val="24"/>
        </w:rPr>
      </w:pPr>
    </w:p>
    <w:p w14:paraId="02D98D3E">
      <w:pPr>
        <w:snapToGrid w:val="0"/>
        <w:spacing w:line="460" w:lineRule="exact"/>
        <w:ind w:left="2940" w:leftChars="1400" w:firstLine="720" w:firstLineChars="300"/>
        <w:rPr>
          <w:rFonts w:ascii="宋体" w:hAnsi="宋体" w:cs="宋体"/>
          <w:bCs/>
          <w:sz w:val="24"/>
          <w:szCs w:val="24"/>
        </w:rPr>
      </w:pPr>
    </w:p>
    <w:p w14:paraId="068C98B0">
      <w:pPr>
        <w:snapToGrid w:val="0"/>
        <w:spacing w:line="460" w:lineRule="exact"/>
        <w:ind w:left="2940" w:leftChars="1400" w:firstLine="720" w:firstLineChars="300"/>
        <w:rPr>
          <w:rFonts w:ascii="宋体" w:hAnsi="宋体" w:cs="宋体"/>
          <w:bCs/>
          <w:sz w:val="24"/>
          <w:szCs w:val="24"/>
        </w:rPr>
      </w:pPr>
    </w:p>
    <w:p w14:paraId="4A0D1CAF">
      <w:pPr>
        <w:snapToGrid w:val="0"/>
        <w:spacing w:line="460" w:lineRule="exact"/>
        <w:ind w:left="2940" w:leftChars="1400" w:firstLine="720" w:firstLineChars="300"/>
        <w:rPr>
          <w:rFonts w:ascii="宋体" w:hAnsi="宋体" w:cs="宋体"/>
          <w:bCs/>
          <w:sz w:val="24"/>
          <w:szCs w:val="24"/>
        </w:rPr>
      </w:pPr>
    </w:p>
    <w:p w14:paraId="60DBF2BF">
      <w:pPr>
        <w:snapToGrid w:val="0"/>
        <w:spacing w:line="460" w:lineRule="exact"/>
        <w:rPr>
          <w:rFonts w:ascii="宋体" w:hAnsi="宋体" w:cs="宋体"/>
          <w:bCs/>
          <w:sz w:val="24"/>
          <w:szCs w:val="24"/>
        </w:rPr>
      </w:pPr>
    </w:p>
    <w:p w14:paraId="3FF87BA5">
      <w:pPr>
        <w:pStyle w:val="27"/>
        <w:ind w:firstLine="480"/>
        <w:rPr>
          <w:rFonts w:ascii="宋体" w:hAnsi="宋体" w:cs="宋体"/>
          <w:bCs/>
          <w:sz w:val="24"/>
        </w:rPr>
      </w:pPr>
    </w:p>
    <w:p w14:paraId="1038F41D">
      <w:pPr>
        <w:pStyle w:val="21"/>
        <w:rPr>
          <w:rFonts w:ascii="宋体" w:hAnsi="宋体" w:eastAsia="宋体" w:cs="宋体"/>
          <w:bCs/>
          <w:sz w:val="24"/>
          <w:szCs w:val="24"/>
        </w:rPr>
      </w:pPr>
    </w:p>
    <w:p w14:paraId="44AE1063">
      <w:pPr>
        <w:pStyle w:val="21"/>
        <w:rPr>
          <w:rFonts w:ascii="宋体" w:hAnsi="宋体" w:eastAsia="宋体" w:cs="宋体"/>
          <w:bCs/>
          <w:sz w:val="24"/>
          <w:szCs w:val="24"/>
        </w:rPr>
      </w:pPr>
    </w:p>
    <w:p w14:paraId="727F2338">
      <w:pPr>
        <w:pStyle w:val="21"/>
        <w:rPr>
          <w:rFonts w:ascii="宋体" w:hAnsi="宋体" w:eastAsia="宋体" w:cs="宋体"/>
          <w:bCs/>
          <w:sz w:val="24"/>
          <w:szCs w:val="24"/>
        </w:rPr>
      </w:pPr>
    </w:p>
    <w:p w14:paraId="499B25A5">
      <w:pPr>
        <w:pStyle w:val="21"/>
        <w:rPr>
          <w:rFonts w:ascii="宋体" w:hAnsi="宋体" w:eastAsia="宋体" w:cs="宋体"/>
          <w:bCs/>
          <w:sz w:val="24"/>
          <w:szCs w:val="24"/>
        </w:rPr>
      </w:pPr>
    </w:p>
    <w:p w14:paraId="1BCFBB11">
      <w:pPr>
        <w:pStyle w:val="21"/>
        <w:rPr>
          <w:rFonts w:ascii="宋体" w:hAnsi="宋体" w:eastAsia="宋体" w:cs="宋体"/>
          <w:bCs/>
          <w:sz w:val="24"/>
          <w:szCs w:val="24"/>
        </w:rPr>
      </w:pPr>
    </w:p>
    <w:p w14:paraId="2FB8BEF9">
      <w:pPr>
        <w:pStyle w:val="21"/>
        <w:rPr>
          <w:rFonts w:ascii="宋体" w:hAnsi="宋体" w:eastAsia="宋体" w:cs="宋体"/>
          <w:bCs/>
          <w:sz w:val="24"/>
          <w:szCs w:val="24"/>
        </w:rPr>
      </w:pPr>
    </w:p>
    <w:p w14:paraId="4BDB4543">
      <w:pPr>
        <w:pStyle w:val="21"/>
        <w:rPr>
          <w:rFonts w:ascii="宋体" w:hAnsi="宋体" w:eastAsia="宋体" w:cs="宋体"/>
          <w:bCs/>
          <w:sz w:val="24"/>
          <w:szCs w:val="24"/>
        </w:rPr>
      </w:pPr>
    </w:p>
    <w:p w14:paraId="6CB38F0E">
      <w:pPr>
        <w:pStyle w:val="21"/>
        <w:rPr>
          <w:rFonts w:ascii="宋体" w:hAnsi="宋体" w:eastAsia="宋体" w:cs="宋体"/>
          <w:bCs/>
          <w:sz w:val="24"/>
          <w:szCs w:val="24"/>
        </w:rPr>
      </w:pPr>
    </w:p>
    <w:p w14:paraId="2AD255F7">
      <w:pPr>
        <w:pStyle w:val="21"/>
        <w:rPr>
          <w:rFonts w:ascii="宋体" w:hAnsi="宋体" w:eastAsia="宋体" w:cs="宋体"/>
          <w:bCs/>
          <w:sz w:val="24"/>
          <w:szCs w:val="24"/>
        </w:rPr>
      </w:pPr>
    </w:p>
    <w:p w14:paraId="4F32C1D7">
      <w:pPr>
        <w:pStyle w:val="21"/>
        <w:rPr>
          <w:rFonts w:ascii="宋体" w:hAnsi="宋体" w:eastAsia="宋体" w:cs="宋体"/>
          <w:bCs/>
          <w:sz w:val="24"/>
          <w:szCs w:val="24"/>
        </w:rPr>
      </w:pPr>
    </w:p>
    <w:p w14:paraId="2D4EDFB1">
      <w:pPr>
        <w:pStyle w:val="21"/>
        <w:rPr>
          <w:rFonts w:ascii="宋体" w:hAnsi="宋体" w:eastAsia="宋体" w:cs="宋体"/>
          <w:bCs/>
          <w:sz w:val="24"/>
          <w:szCs w:val="24"/>
        </w:rPr>
      </w:pPr>
    </w:p>
    <w:p w14:paraId="3AD4751E"/>
    <w:p w14:paraId="0DD271AD">
      <w:pPr>
        <w:pStyle w:val="21"/>
        <w:rPr>
          <w:rFonts w:ascii="宋体" w:hAnsi="宋体" w:eastAsia="宋体" w:cs="宋体"/>
          <w:bCs/>
          <w:sz w:val="24"/>
          <w:szCs w:val="24"/>
        </w:rPr>
      </w:pPr>
    </w:p>
    <w:p w14:paraId="626DE04D">
      <w:pPr>
        <w:pStyle w:val="27"/>
        <w:ind w:left="0" w:leftChars="0" w:firstLine="0" w:firstLineChars="0"/>
      </w:pPr>
    </w:p>
    <w:p w14:paraId="34F2DB95">
      <w:pPr>
        <w:pStyle w:val="21"/>
        <w:rPr>
          <w:rFonts w:ascii="宋体" w:hAnsi="宋体" w:eastAsia="宋体" w:cs="宋体"/>
          <w:bCs/>
          <w:sz w:val="21"/>
          <w:szCs w:val="21"/>
        </w:rPr>
      </w:pPr>
      <w:r>
        <w:rPr>
          <w:rFonts w:hint="eastAsia" w:ascii="宋体" w:hAnsi="宋体" w:eastAsia="宋体"/>
          <w:b/>
          <w:sz w:val="21"/>
          <w:szCs w:val="21"/>
        </w:rPr>
        <w:t>附件1</w:t>
      </w:r>
    </w:p>
    <w:p w14:paraId="27CBD587">
      <w:pPr>
        <w:spacing w:line="360" w:lineRule="exact"/>
        <w:ind w:firstLine="411" w:firstLineChars="147"/>
        <w:jc w:val="center"/>
        <w:rPr>
          <w:rFonts w:ascii="宋体" w:hAnsi="宋体" w:eastAsia="宋体" w:cs="宋体"/>
          <w:bCs/>
          <w:sz w:val="28"/>
          <w:szCs w:val="28"/>
        </w:rPr>
      </w:pPr>
      <w:bookmarkStart w:id="316" w:name="_Toc11073"/>
      <w:bookmarkStart w:id="317" w:name="_Toc27065"/>
      <w:bookmarkStart w:id="318" w:name="OLE_LINK42"/>
      <w:r>
        <w:rPr>
          <w:rFonts w:hint="eastAsia" w:ascii="宋体" w:hAnsi="宋体" w:eastAsia="宋体" w:cs="宋体"/>
          <w:bCs/>
          <w:sz w:val="28"/>
          <w:szCs w:val="28"/>
        </w:rPr>
        <w:t>响应报价一览表</w:t>
      </w:r>
      <w:bookmarkEnd w:id="316"/>
      <w:bookmarkEnd w:id="317"/>
    </w:p>
    <w:p w14:paraId="38CC9C09">
      <w:pPr>
        <w:spacing w:line="360" w:lineRule="exact"/>
        <w:ind w:firstLine="352" w:firstLineChars="147"/>
        <w:rPr>
          <w:rFonts w:ascii="宋体" w:hAnsi="宋体" w:eastAsia="宋体" w:cs="宋体"/>
          <w:bCs/>
          <w:sz w:val="24"/>
          <w:szCs w:val="24"/>
        </w:rPr>
      </w:pPr>
    </w:p>
    <w:tbl>
      <w:tblPr>
        <w:tblStyle w:val="28"/>
        <w:tblW w:w="96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797"/>
      </w:tblGrid>
      <w:tr w14:paraId="4D168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jc w:val="center"/>
        </w:trPr>
        <w:tc>
          <w:tcPr>
            <w:tcW w:w="1803" w:type="dxa"/>
            <w:tcBorders>
              <w:top w:val="single" w:color="auto" w:sz="12" w:space="0"/>
              <w:bottom w:val="single" w:color="auto" w:sz="12" w:space="0"/>
              <w:right w:val="single" w:color="auto" w:sz="12" w:space="0"/>
            </w:tcBorders>
            <w:vAlign w:val="center"/>
          </w:tcPr>
          <w:p w14:paraId="5707D3BA">
            <w:pPr>
              <w:spacing w:line="460" w:lineRule="exact"/>
              <w:jc w:val="center"/>
              <w:rPr>
                <w:rFonts w:ascii="宋体" w:hAnsi="宋体" w:eastAsia="宋体" w:cs="宋体"/>
                <w:bCs/>
                <w:szCs w:val="21"/>
              </w:rPr>
            </w:pPr>
            <w:r>
              <w:rPr>
                <w:rFonts w:hint="eastAsia" w:ascii="宋体" w:hAnsi="宋体" w:eastAsia="宋体" w:cs="宋体"/>
                <w:bCs/>
                <w:szCs w:val="21"/>
              </w:rPr>
              <w:t>项目名称</w:t>
            </w:r>
          </w:p>
        </w:tc>
        <w:tc>
          <w:tcPr>
            <w:tcW w:w="7797" w:type="dxa"/>
            <w:tcBorders>
              <w:top w:val="single" w:color="auto" w:sz="12" w:space="0"/>
              <w:left w:val="single" w:color="auto" w:sz="12" w:space="0"/>
              <w:bottom w:val="single" w:color="auto" w:sz="12" w:space="0"/>
            </w:tcBorders>
            <w:vAlign w:val="center"/>
          </w:tcPr>
          <w:p w14:paraId="6678B384">
            <w:pPr>
              <w:spacing w:line="360" w:lineRule="auto"/>
              <w:jc w:val="left"/>
              <w:rPr>
                <w:rFonts w:ascii="宋体" w:hAnsi="宋体" w:eastAsia="宋体" w:cs="宋体"/>
                <w:bCs/>
                <w:szCs w:val="21"/>
              </w:rPr>
            </w:pPr>
            <w:r>
              <w:rPr>
                <w:rFonts w:hint="eastAsia" w:ascii="宋体" w:hAnsi="宋体" w:eastAsia="宋体" w:cs="宋体"/>
                <w:bCs/>
                <w:szCs w:val="21"/>
              </w:rPr>
              <w:t xml:space="preserve">         </w:t>
            </w:r>
          </w:p>
        </w:tc>
      </w:tr>
      <w:tr w14:paraId="0BFA4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jc w:val="center"/>
        </w:trPr>
        <w:tc>
          <w:tcPr>
            <w:tcW w:w="1803" w:type="dxa"/>
            <w:tcBorders>
              <w:right w:val="single" w:color="auto" w:sz="12" w:space="0"/>
            </w:tcBorders>
            <w:vAlign w:val="center"/>
          </w:tcPr>
          <w:p w14:paraId="33F73191">
            <w:pPr>
              <w:spacing w:line="460" w:lineRule="exact"/>
              <w:jc w:val="center"/>
              <w:rPr>
                <w:rFonts w:ascii="宋体" w:hAnsi="宋体" w:eastAsia="宋体" w:cs="宋体"/>
                <w:bCs/>
                <w:szCs w:val="21"/>
              </w:rPr>
            </w:pPr>
            <w:r>
              <w:rPr>
                <w:rFonts w:hint="eastAsia" w:ascii="宋体" w:hAnsi="宋体" w:eastAsia="宋体" w:cs="宋体"/>
                <w:bCs/>
                <w:szCs w:val="21"/>
              </w:rPr>
              <w:t>供应商名称</w:t>
            </w:r>
          </w:p>
        </w:tc>
        <w:tc>
          <w:tcPr>
            <w:tcW w:w="7797" w:type="dxa"/>
            <w:tcBorders>
              <w:left w:val="single" w:color="auto" w:sz="12" w:space="0"/>
            </w:tcBorders>
          </w:tcPr>
          <w:p w14:paraId="5BD60F80">
            <w:pPr>
              <w:pStyle w:val="16"/>
              <w:spacing w:line="460" w:lineRule="exact"/>
              <w:ind w:left="86" w:leftChars="41"/>
              <w:rPr>
                <w:rFonts w:ascii="宋体" w:hAnsi="宋体" w:cs="宋体"/>
                <w:bCs/>
                <w:sz w:val="21"/>
                <w:szCs w:val="21"/>
                <w:u w:color="000000"/>
              </w:rPr>
            </w:pPr>
          </w:p>
        </w:tc>
      </w:tr>
      <w:tr w14:paraId="2732F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jc w:val="center"/>
        </w:trPr>
        <w:tc>
          <w:tcPr>
            <w:tcW w:w="1803" w:type="dxa"/>
            <w:tcBorders>
              <w:right w:val="single" w:color="auto" w:sz="12" w:space="0"/>
            </w:tcBorders>
            <w:vAlign w:val="center"/>
          </w:tcPr>
          <w:p w14:paraId="03AC97E1">
            <w:pPr>
              <w:spacing w:line="360" w:lineRule="auto"/>
              <w:jc w:val="center"/>
              <w:rPr>
                <w:rFonts w:ascii="宋体" w:hAnsi="宋体" w:eastAsia="宋体" w:cs="宋体"/>
                <w:bCs/>
                <w:szCs w:val="21"/>
              </w:rPr>
            </w:pPr>
            <w:r>
              <w:rPr>
                <w:rFonts w:hint="eastAsia" w:ascii="宋体" w:hAnsi="宋体" w:eastAsia="宋体" w:cs="宋体"/>
                <w:bCs/>
                <w:szCs w:val="21"/>
              </w:rPr>
              <w:t>报价\服务期（工期）</w:t>
            </w:r>
          </w:p>
        </w:tc>
        <w:tc>
          <w:tcPr>
            <w:tcW w:w="7797" w:type="dxa"/>
            <w:tcBorders>
              <w:left w:val="single" w:color="auto" w:sz="12" w:space="0"/>
            </w:tcBorders>
            <w:vAlign w:val="center"/>
          </w:tcPr>
          <w:p w14:paraId="678A6DBF">
            <w:pPr>
              <w:spacing w:line="360" w:lineRule="auto"/>
              <w:rPr>
                <w:rFonts w:ascii="宋体" w:hAnsi="宋体" w:eastAsia="宋体" w:cs="宋体"/>
                <w:sz w:val="24"/>
              </w:rPr>
            </w:pPr>
            <w:r>
              <w:rPr>
                <w:rFonts w:hint="eastAsia" w:ascii="宋体" w:hAnsi="宋体" w:eastAsia="宋体" w:cs="宋体"/>
                <w:sz w:val="24"/>
              </w:rPr>
              <w:t>总响应报价 （大写）：</w:t>
            </w:r>
            <w:r>
              <w:rPr>
                <w:rFonts w:hint="eastAsia" w:ascii="宋体" w:hAnsi="宋体" w:eastAsia="宋体" w:cs="宋体"/>
                <w:sz w:val="24"/>
                <w:u w:val="single"/>
              </w:rPr>
              <w:t xml:space="preserve">                    </w:t>
            </w:r>
          </w:p>
          <w:p w14:paraId="78919378">
            <w:pPr>
              <w:spacing w:line="360" w:lineRule="auto"/>
              <w:ind w:firstLine="1200" w:firstLineChars="500"/>
              <w:rPr>
                <w:rFonts w:ascii="宋体" w:hAnsi="宋体" w:eastAsia="宋体" w:cs="宋体"/>
                <w:sz w:val="24"/>
              </w:rPr>
            </w:pPr>
            <w:r>
              <w:rPr>
                <w:rFonts w:hint="eastAsia" w:ascii="宋体" w:hAnsi="宋体" w:eastAsia="宋体" w:cs="宋体"/>
                <w:sz w:val="24"/>
              </w:rPr>
              <w:t>(小写)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9907753">
            <w:pPr>
              <w:spacing w:line="360" w:lineRule="auto"/>
              <w:rPr>
                <w:rFonts w:ascii="宋体" w:hAnsi="宋体" w:eastAsia="宋体" w:cs="宋体"/>
                <w:bCs/>
                <w:szCs w:val="21"/>
                <w:u w:val="single"/>
              </w:rPr>
            </w:pPr>
            <w:r>
              <w:rPr>
                <w:rFonts w:hint="eastAsia" w:ascii="宋体" w:hAnsi="宋体" w:eastAsia="宋体" w:cs="宋体"/>
                <w:sz w:val="24"/>
              </w:rPr>
              <w:t>服务期</w:t>
            </w:r>
            <w:r>
              <w:rPr>
                <w:rFonts w:hint="eastAsia" w:ascii="宋体" w:hAnsi="宋体" w:eastAsia="宋体" w:cs="宋体"/>
                <w:bCs/>
                <w:szCs w:val="21"/>
              </w:rPr>
              <w:t>（工期）</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tc>
      </w:tr>
    </w:tbl>
    <w:p w14:paraId="79E19532">
      <w:pPr>
        <w:snapToGrid w:val="0"/>
        <w:spacing w:line="460" w:lineRule="exact"/>
        <w:ind w:left="2940" w:leftChars="1400" w:firstLine="720" w:firstLineChars="300"/>
        <w:rPr>
          <w:rFonts w:ascii="宋体" w:hAnsi="宋体" w:eastAsia="宋体" w:cs="宋体"/>
          <w:bCs/>
          <w:sz w:val="24"/>
          <w:szCs w:val="24"/>
        </w:rPr>
      </w:pPr>
    </w:p>
    <w:p w14:paraId="73F2517F">
      <w:pPr>
        <w:snapToGrid w:val="0"/>
        <w:spacing w:line="460" w:lineRule="exact"/>
        <w:ind w:left="2940" w:leftChars="1400" w:firstLine="720" w:firstLineChars="300"/>
        <w:rPr>
          <w:rFonts w:ascii="宋体" w:hAnsi="宋体" w:eastAsia="宋体" w:cs="宋体"/>
          <w:bCs/>
          <w:sz w:val="24"/>
          <w:szCs w:val="24"/>
        </w:rPr>
      </w:pPr>
    </w:p>
    <w:p w14:paraId="06D52D0F">
      <w:pPr>
        <w:rPr>
          <w:rFonts w:ascii="宋体" w:hAnsi="宋体" w:eastAsia="宋体" w:cs="宋体"/>
          <w:bCs/>
          <w:sz w:val="24"/>
          <w:szCs w:val="24"/>
        </w:rPr>
      </w:pPr>
      <w:r>
        <w:rPr>
          <w:rFonts w:hint="eastAsia" w:ascii="宋体" w:hAnsi="宋体" w:eastAsia="宋体" w:cs="宋体"/>
          <w:bCs/>
          <w:sz w:val="24"/>
          <w:szCs w:val="24"/>
        </w:rPr>
        <w:t>法定代表人（签章）：                            供应商（签章）：</w:t>
      </w:r>
    </w:p>
    <w:p w14:paraId="1631EA04">
      <w:pPr>
        <w:snapToGrid w:val="0"/>
        <w:spacing w:beforeLines="100" w:afterLines="100" w:line="360" w:lineRule="auto"/>
        <w:jc w:val="center"/>
        <w:rPr>
          <w:rFonts w:ascii="宋体" w:hAnsi="宋体" w:eastAsia="宋体" w:cs="宋体"/>
          <w:bCs/>
          <w:sz w:val="24"/>
          <w:szCs w:val="24"/>
        </w:rPr>
      </w:pPr>
      <w:r>
        <w:rPr>
          <w:rFonts w:hint="eastAsia" w:ascii="宋体" w:hAnsi="宋体" w:eastAsia="宋体" w:cs="宋体"/>
          <w:bCs/>
          <w:sz w:val="24"/>
          <w:szCs w:val="24"/>
        </w:rPr>
        <w:t xml:space="preserve">                                      </w:t>
      </w:r>
      <w:bookmarkStart w:id="319" w:name="_Toc11960"/>
      <w:bookmarkStart w:id="320" w:name="_Toc26400"/>
      <w:r>
        <w:rPr>
          <w:rFonts w:hint="eastAsia" w:ascii="宋体" w:hAnsi="宋体" w:eastAsia="宋体" w:cs="宋体"/>
          <w:bCs/>
          <w:sz w:val="24"/>
          <w:szCs w:val="24"/>
        </w:rPr>
        <w:t>日  期：    年  月  日</w:t>
      </w:r>
      <w:bookmarkEnd w:id="319"/>
      <w:bookmarkEnd w:id="320"/>
      <w:r>
        <w:rPr>
          <w:rFonts w:hint="eastAsia" w:ascii="宋体" w:hAnsi="宋体" w:eastAsia="宋体" w:cs="宋体"/>
          <w:bCs/>
          <w:sz w:val="24"/>
          <w:szCs w:val="24"/>
        </w:rPr>
        <w:t xml:space="preserve"> </w:t>
      </w:r>
    </w:p>
    <w:p w14:paraId="21578E76">
      <w:pPr>
        <w:jc w:val="center"/>
        <w:rPr>
          <w:rFonts w:ascii="宋体" w:hAnsi="宋体" w:cs="宋体"/>
          <w:bCs/>
          <w:sz w:val="24"/>
          <w:szCs w:val="24"/>
        </w:rPr>
      </w:pPr>
    </w:p>
    <w:p w14:paraId="1224CA96">
      <w:pPr>
        <w:wordWrap w:val="0"/>
        <w:spacing w:line="460" w:lineRule="exact"/>
        <w:ind w:right="-178" w:rightChars="-85" w:firstLine="422" w:firstLineChars="200"/>
        <w:rPr>
          <w:rFonts w:ascii="宋体" w:hAnsi="宋体" w:eastAsia="宋体"/>
          <w:b/>
          <w:szCs w:val="21"/>
        </w:rPr>
      </w:pPr>
    </w:p>
    <w:p w14:paraId="3CDD68EE">
      <w:pPr>
        <w:wordWrap w:val="0"/>
        <w:spacing w:line="460" w:lineRule="exact"/>
        <w:ind w:right="-178" w:rightChars="-85" w:firstLine="422" w:firstLineChars="200"/>
        <w:rPr>
          <w:rFonts w:ascii="宋体" w:hAnsi="宋体" w:eastAsia="宋体"/>
          <w:b/>
          <w:szCs w:val="21"/>
        </w:rPr>
      </w:pPr>
    </w:p>
    <w:p w14:paraId="5BA6A7BA">
      <w:pPr>
        <w:wordWrap w:val="0"/>
        <w:spacing w:line="460" w:lineRule="exact"/>
        <w:ind w:right="-178" w:rightChars="-85" w:firstLine="422" w:firstLineChars="200"/>
        <w:rPr>
          <w:rFonts w:ascii="宋体" w:hAnsi="宋体" w:eastAsia="宋体"/>
          <w:b/>
          <w:szCs w:val="21"/>
        </w:rPr>
      </w:pPr>
    </w:p>
    <w:p w14:paraId="7871C124">
      <w:pPr>
        <w:wordWrap w:val="0"/>
        <w:spacing w:line="460" w:lineRule="exact"/>
        <w:ind w:right="-178" w:rightChars="-85" w:firstLine="422" w:firstLineChars="200"/>
        <w:rPr>
          <w:rFonts w:ascii="宋体" w:hAnsi="宋体" w:eastAsia="宋体"/>
          <w:b/>
          <w:szCs w:val="21"/>
        </w:rPr>
      </w:pPr>
    </w:p>
    <w:p w14:paraId="45DDAC63">
      <w:pPr>
        <w:wordWrap w:val="0"/>
        <w:spacing w:line="460" w:lineRule="exact"/>
        <w:ind w:right="-178" w:rightChars="-85" w:firstLine="422" w:firstLineChars="200"/>
        <w:rPr>
          <w:rFonts w:ascii="宋体" w:hAnsi="宋体" w:eastAsia="宋体"/>
          <w:b/>
          <w:szCs w:val="21"/>
        </w:rPr>
      </w:pPr>
    </w:p>
    <w:p w14:paraId="76431688">
      <w:pPr>
        <w:wordWrap w:val="0"/>
        <w:spacing w:line="460" w:lineRule="exact"/>
        <w:ind w:right="-178" w:rightChars="-85" w:firstLine="422" w:firstLineChars="200"/>
        <w:rPr>
          <w:rFonts w:ascii="宋体" w:hAnsi="宋体" w:eastAsia="宋体"/>
          <w:b/>
          <w:szCs w:val="21"/>
        </w:rPr>
      </w:pPr>
    </w:p>
    <w:p w14:paraId="5E131A49">
      <w:pPr>
        <w:wordWrap w:val="0"/>
        <w:spacing w:line="460" w:lineRule="exact"/>
        <w:ind w:right="-178" w:rightChars="-85" w:firstLine="422" w:firstLineChars="200"/>
        <w:rPr>
          <w:rFonts w:ascii="宋体" w:hAnsi="宋体" w:eastAsia="宋体"/>
          <w:b/>
          <w:szCs w:val="21"/>
        </w:rPr>
      </w:pPr>
    </w:p>
    <w:p w14:paraId="6B6111E2">
      <w:pPr>
        <w:pStyle w:val="21"/>
        <w:rPr>
          <w:rFonts w:ascii="宋体" w:hAnsi="宋体" w:eastAsia="宋体" w:cs="宋体"/>
          <w:bCs/>
        </w:rPr>
      </w:pPr>
      <w:r>
        <w:rPr>
          <w:rFonts w:hint="eastAsia" w:ascii="宋体" w:hAnsi="宋体" w:eastAsia="宋体"/>
          <w:b/>
          <w:sz w:val="21"/>
          <w:szCs w:val="21"/>
        </w:rPr>
        <w:t xml:space="preserve">附件2 </w:t>
      </w:r>
    </w:p>
    <w:bookmarkEnd w:id="318"/>
    <w:p w14:paraId="119FB430">
      <w:pPr>
        <w:spacing w:line="360" w:lineRule="exact"/>
        <w:ind w:firstLine="413" w:firstLineChars="147"/>
        <w:jc w:val="center"/>
        <w:rPr>
          <w:rFonts w:ascii="宋体" w:hAnsi="宋体" w:eastAsia="宋体" w:cs="宋体"/>
          <w:b/>
          <w:sz w:val="28"/>
          <w:szCs w:val="28"/>
        </w:rPr>
      </w:pPr>
      <w:bookmarkStart w:id="321" w:name="_Toc28316"/>
      <w:bookmarkStart w:id="322" w:name="OLE_LINK45"/>
      <w:bookmarkStart w:id="323" w:name="_Toc28190"/>
      <w:r>
        <w:rPr>
          <w:rFonts w:hint="eastAsia" w:ascii="宋体" w:hAnsi="宋体" w:eastAsia="宋体" w:cs="宋体"/>
          <w:b/>
          <w:sz w:val="28"/>
          <w:szCs w:val="28"/>
        </w:rPr>
        <w:t>响 应 函</w:t>
      </w:r>
    </w:p>
    <w:p w14:paraId="5DE64256">
      <w:pPr>
        <w:spacing w:line="440" w:lineRule="exact"/>
        <w:rPr>
          <w:rFonts w:ascii="宋体" w:hAnsi="宋体" w:eastAsia="宋体" w:cs="宋体"/>
          <w:bCs/>
          <w:sz w:val="24"/>
        </w:rPr>
      </w:pPr>
    </w:p>
    <w:p w14:paraId="51BC15E6">
      <w:pPr>
        <w:spacing w:line="360" w:lineRule="auto"/>
        <w:rPr>
          <w:rFonts w:ascii="宋体" w:hAnsi="宋体" w:eastAsia="宋体" w:cs="宋体"/>
          <w:bCs/>
          <w:szCs w:val="16"/>
        </w:rPr>
      </w:pPr>
      <w:r>
        <w:rPr>
          <w:rFonts w:hint="eastAsia" w:ascii="宋体" w:hAnsi="宋体" w:eastAsia="宋体" w:cs="宋体"/>
          <w:bCs/>
          <w:szCs w:val="16"/>
        </w:rPr>
        <w:t xml:space="preserve">致：  </w:t>
      </w:r>
      <w:r>
        <w:rPr>
          <w:rFonts w:hint="eastAsia" w:ascii="宋体" w:hAnsi="宋体" w:eastAsia="宋体" w:cs="宋体"/>
          <w:bCs/>
          <w:szCs w:val="16"/>
          <w:u w:val="single"/>
        </w:rPr>
        <w:t xml:space="preserve">     （采购人）      </w:t>
      </w:r>
      <w:r>
        <w:rPr>
          <w:rFonts w:hint="eastAsia" w:ascii="宋体" w:hAnsi="宋体" w:eastAsia="宋体" w:cs="宋体"/>
          <w:bCs/>
          <w:szCs w:val="16"/>
        </w:rPr>
        <w:t xml:space="preserve">                   </w:t>
      </w:r>
    </w:p>
    <w:p w14:paraId="4C9A9D28">
      <w:pPr>
        <w:spacing w:line="360" w:lineRule="auto"/>
        <w:ind w:firstLine="420" w:firstLineChars="200"/>
        <w:rPr>
          <w:rFonts w:ascii="宋体" w:hAnsi="宋体" w:eastAsia="宋体" w:cs="宋体"/>
          <w:bCs/>
          <w:szCs w:val="16"/>
        </w:rPr>
      </w:pPr>
      <w:r>
        <w:rPr>
          <w:rFonts w:hint="eastAsia" w:ascii="宋体" w:hAnsi="宋体" w:eastAsia="宋体" w:cs="宋体"/>
          <w:bCs/>
          <w:szCs w:val="16"/>
        </w:rPr>
        <w:t>1、我们决定参加贵单位组织的“</w:t>
      </w:r>
      <w:r>
        <w:rPr>
          <w:rFonts w:hint="eastAsia" w:ascii="宋体" w:hAnsi="宋体" w:eastAsia="宋体" w:cs="宋体"/>
          <w:bCs/>
          <w:szCs w:val="16"/>
          <w:u w:val="single"/>
        </w:rPr>
        <w:t xml:space="preserve"> （项目名称）</w:t>
      </w:r>
      <w:r>
        <w:rPr>
          <w:rFonts w:hint="eastAsia" w:ascii="宋体" w:hAnsi="宋体" w:eastAsia="宋体" w:cs="宋体"/>
          <w:bCs/>
          <w:szCs w:val="16"/>
        </w:rPr>
        <w:t>”的磋商。我方授权</w:t>
      </w:r>
      <w:r>
        <w:rPr>
          <w:rFonts w:hint="eastAsia" w:ascii="宋体" w:hAnsi="宋体" w:eastAsia="宋体" w:cs="宋体"/>
          <w:bCs/>
          <w:szCs w:val="16"/>
          <w:u w:val="single"/>
        </w:rPr>
        <w:t xml:space="preserve">      </w:t>
      </w:r>
      <w:r>
        <w:rPr>
          <w:rFonts w:hint="eastAsia" w:ascii="宋体" w:hAnsi="宋体" w:eastAsia="宋体" w:cs="宋体"/>
          <w:bCs/>
          <w:szCs w:val="16"/>
        </w:rPr>
        <w:t>(姓名和职务)代表我方</w:t>
      </w:r>
      <w:r>
        <w:rPr>
          <w:rFonts w:hint="eastAsia" w:ascii="宋体" w:hAnsi="宋体" w:eastAsia="宋体" w:cs="宋体"/>
          <w:bCs/>
          <w:szCs w:val="16"/>
          <w:u w:val="single"/>
        </w:rPr>
        <w:t xml:space="preserve">        </w:t>
      </w:r>
      <w:r>
        <w:rPr>
          <w:rFonts w:hint="eastAsia" w:ascii="宋体" w:hAnsi="宋体" w:eastAsia="宋体" w:cs="宋体"/>
          <w:bCs/>
          <w:szCs w:val="16"/>
        </w:rPr>
        <w:t>（供应商的名称）全权处理本项目磋商的有关事宜。</w:t>
      </w:r>
    </w:p>
    <w:p w14:paraId="02E1F1DC">
      <w:pPr>
        <w:spacing w:line="360" w:lineRule="auto"/>
        <w:ind w:firstLine="420" w:firstLineChars="200"/>
        <w:rPr>
          <w:rFonts w:ascii="宋体" w:hAnsi="宋体" w:eastAsia="宋体" w:cs="宋体"/>
          <w:bCs/>
          <w:szCs w:val="16"/>
        </w:rPr>
      </w:pPr>
      <w:r>
        <w:rPr>
          <w:rFonts w:hint="eastAsia" w:ascii="宋体" w:hAnsi="宋体" w:eastAsia="宋体" w:cs="宋体"/>
          <w:bCs/>
          <w:szCs w:val="16"/>
        </w:rPr>
        <w:t xml:space="preserve">2、我方愿意按照磋商文件规定的各项要求，向采购人提供“ </w:t>
      </w:r>
      <w:r>
        <w:rPr>
          <w:rFonts w:hint="eastAsia" w:ascii="宋体" w:hAnsi="宋体" w:eastAsia="宋体" w:cs="宋体"/>
          <w:bCs/>
          <w:szCs w:val="16"/>
          <w:u w:val="single"/>
        </w:rPr>
        <w:t xml:space="preserve">      </w:t>
      </w:r>
      <w:r>
        <w:rPr>
          <w:rFonts w:hint="eastAsia" w:ascii="宋体" w:hAnsi="宋体" w:eastAsia="宋体" w:cs="宋体"/>
          <w:bCs/>
          <w:szCs w:val="16"/>
        </w:rPr>
        <w:t>（项目名称）”项目的货物及服务，总投标报价为人民币（大写）</w:t>
      </w:r>
      <w:r>
        <w:rPr>
          <w:rFonts w:hint="eastAsia" w:ascii="宋体" w:hAnsi="宋体" w:eastAsia="宋体" w:cs="宋体"/>
          <w:bCs/>
          <w:szCs w:val="16"/>
          <w:u w:val="single"/>
        </w:rPr>
        <w:t xml:space="preserve">        </w:t>
      </w:r>
      <w:r>
        <w:rPr>
          <w:rFonts w:hint="eastAsia" w:ascii="宋体" w:hAnsi="宋体" w:eastAsia="宋体" w:cs="宋体"/>
          <w:bCs/>
          <w:szCs w:val="16"/>
        </w:rPr>
        <w:t>（小写）</w:t>
      </w:r>
      <w:r>
        <w:rPr>
          <w:rFonts w:hint="eastAsia" w:ascii="宋体" w:hAnsi="宋体" w:eastAsia="宋体" w:cs="宋体"/>
          <w:bCs/>
          <w:szCs w:val="16"/>
          <w:u w:val="single"/>
        </w:rPr>
        <w:t xml:space="preserve">          </w:t>
      </w:r>
      <w:r>
        <w:rPr>
          <w:rFonts w:hint="eastAsia" w:ascii="宋体" w:hAnsi="宋体" w:eastAsia="宋体" w:cs="宋体"/>
          <w:bCs/>
          <w:szCs w:val="16"/>
        </w:rPr>
        <w:t xml:space="preserve"> 。签订合同后按采购人要求完成本项目所有工作内容。</w:t>
      </w:r>
    </w:p>
    <w:p w14:paraId="050DB46F">
      <w:pPr>
        <w:spacing w:line="360" w:lineRule="auto"/>
        <w:ind w:firstLine="420" w:firstLineChars="200"/>
        <w:rPr>
          <w:rFonts w:ascii="宋体" w:hAnsi="宋体" w:eastAsia="宋体" w:cs="宋体"/>
          <w:bCs/>
          <w:szCs w:val="16"/>
        </w:rPr>
      </w:pPr>
      <w:r>
        <w:rPr>
          <w:rFonts w:hint="eastAsia" w:ascii="宋体" w:hAnsi="宋体" w:eastAsia="宋体" w:cs="宋体"/>
          <w:bCs/>
          <w:szCs w:val="16"/>
        </w:rPr>
        <w:t>3、一旦我方成为合同签字人，我方将严格履行合同规定的责任和义务。</w:t>
      </w:r>
    </w:p>
    <w:p w14:paraId="676DB25E">
      <w:pPr>
        <w:spacing w:line="360" w:lineRule="auto"/>
        <w:ind w:firstLine="420" w:firstLineChars="200"/>
        <w:rPr>
          <w:rFonts w:ascii="宋体" w:hAnsi="宋体" w:eastAsia="宋体" w:cs="宋体"/>
          <w:bCs/>
          <w:szCs w:val="16"/>
          <w:u w:val="single"/>
        </w:rPr>
      </w:pPr>
      <w:r>
        <w:rPr>
          <w:rFonts w:hint="eastAsia" w:ascii="宋体" w:hAnsi="宋体" w:eastAsia="宋体" w:cs="宋体"/>
          <w:bCs/>
          <w:szCs w:val="16"/>
        </w:rPr>
        <w:t>4、</w:t>
      </w:r>
      <w:r>
        <w:rPr>
          <w:rFonts w:hint="eastAsia" w:ascii="宋体" w:hAnsi="宋体" w:eastAsia="宋体" w:cs="宋体"/>
          <w:szCs w:val="21"/>
        </w:rPr>
        <w:t>我方承诺在磋商文件规定的有效期内不撤销响应文件</w:t>
      </w:r>
      <w:r>
        <w:rPr>
          <w:rFonts w:hint="eastAsia" w:ascii="宋体" w:hAnsi="宋体" w:eastAsia="宋体" w:cs="宋体"/>
          <w:bCs/>
          <w:szCs w:val="16"/>
        </w:rPr>
        <w:t>。</w:t>
      </w:r>
    </w:p>
    <w:p w14:paraId="61DED6CA">
      <w:pPr>
        <w:spacing w:line="360" w:lineRule="auto"/>
        <w:ind w:firstLine="420" w:firstLineChars="200"/>
        <w:rPr>
          <w:rFonts w:ascii="宋体" w:hAnsi="宋体" w:eastAsia="宋体" w:cs="宋体"/>
          <w:bCs/>
          <w:szCs w:val="16"/>
        </w:rPr>
      </w:pPr>
      <w:r>
        <w:rPr>
          <w:rFonts w:hint="eastAsia" w:ascii="宋体" w:hAnsi="宋体" w:eastAsia="宋体" w:cs="宋体"/>
          <w:bCs/>
          <w:szCs w:val="16"/>
        </w:rPr>
        <w:t>5、我方为本项目提交的响应文件一式三份，其中正本一份、副本两份。</w:t>
      </w:r>
    </w:p>
    <w:p w14:paraId="5870E82A">
      <w:pPr>
        <w:spacing w:line="360" w:lineRule="auto"/>
        <w:ind w:firstLine="420" w:firstLineChars="200"/>
        <w:rPr>
          <w:rFonts w:ascii="宋体" w:hAnsi="宋体" w:eastAsia="宋体" w:cs="宋体"/>
          <w:bCs/>
          <w:szCs w:val="16"/>
        </w:rPr>
      </w:pPr>
      <w:r>
        <w:rPr>
          <w:rFonts w:hint="eastAsia" w:ascii="宋体" w:hAnsi="宋体" w:eastAsia="宋体" w:cs="宋体"/>
          <w:bCs/>
          <w:szCs w:val="16"/>
        </w:rPr>
        <w:t>6、我方愿意提供可能另外要求的、与磋商活动有关的文件资料，并保证我方已提供和将要提供的文件是真实的、准确的。</w:t>
      </w:r>
    </w:p>
    <w:p w14:paraId="3162212B">
      <w:pPr>
        <w:spacing w:line="360" w:lineRule="auto"/>
        <w:ind w:firstLine="420" w:firstLineChars="200"/>
        <w:rPr>
          <w:rFonts w:ascii="宋体" w:hAnsi="宋体" w:eastAsia="宋体" w:cs="宋体"/>
          <w:bCs/>
          <w:szCs w:val="16"/>
        </w:rPr>
      </w:pPr>
      <w:r>
        <w:rPr>
          <w:rFonts w:hint="eastAsia" w:ascii="宋体" w:hAnsi="宋体" w:eastAsia="宋体" w:cs="宋体"/>
          <w:bCs/>
          <w:szCs w:val="16"/>
        </w:rPr>
        <w:t>7、我单位提供如下通讯地址：电子邮箱（地址）</w:t>
      </w:r>
      <w:r>
        <w:rPr>
          <w:rFonts w:hint="eastAsia" w:ascii="宋体" w:hAnsi="宋体" w:eastAsia="宋体" w:cs="宋体"/>
          <w:bCs/>
          <w:szCs w:val="16"/>
          <w:u w:val="single"/>
        </w:rPr>
        <w:t xml:space="preserve">                       </w:t>
      </w:r>
      <w:r>
        <w:rPr>
          <w:rFonts w:hint="eastAsia" w:ascii="宋体" w:hAnsi="宋体" w:eastAsia="宋体" w:cs="宋体"/>
          <w:bCs/>
          <w:szCs w:val="16"/>
        </w:rPr>
        <w:t>，我单位确认本项目相关法律文书均通过我单位提供的以上地址送达，相关文书只要发送至以上电子邮箱（地址）即视为送达，我单位愿意承担一切法律后果。</w:t>
      </w:r>
    </w:p>
    <w:p w14:paraId="51C6E6F5">
      <w:pPr>
        <w:spacing w:line="360" w:lineRule="auto"/>
        <w:rPr>
          <w:rFonts w:ascii="宋体" w:hAnsi="宋体" w:eastAsia="宋体" w:cs="宋体"/>
          <w:bCs/>
          <w:szCs w:val="16"/>
        </w:rPr>
      </w:pPr>
    </w:p>
    <w:p w14:paraId="27CA02D9">
      <w:pPr>
        <w:spacing w:line="360" w:lineRule="auto"/>
        <w:ind w:firstLine="1050" w:firstLineChars="500"/>
        <w:rPr>
          <w:rFonts w:ascii="宋体" w:hAnsi="宋体" w:eastAsia="宋体" w:cs="宋体"/>
          <w:bCs/>
          <w:szCs w:val="16"/>
        </w:rPr>
      </w:pPr>
      <w:r>
        <w:rPr>
          <w:rFonts w:hint="eastAsia" w:ascii="宋体" w:hAnsi="宋体" w:eastAsia="宋体" w:cs="宋体"/>
          <w:bCs/>
          <w:szCs w:val="16"/>
        </w:rPr>
        <w:t>供应商名称</w:t>
      </w:r>
      <w:r>
        <w:rPr>
          <w:rFonts w:hint="eastAsia" w:ascii="宋体" w:hAnsi="宋体" w:eastAsia="宋体" w:cs="宋体"/>
          <w:bCs/>
          <w:szCs w:val="16"/>
          <w:u w:val="single"/>
        </w:rPr>
        <w:t xml:space="preserve">：                                </w:t>
      </w:r>
      <w:r>
        <w:rPr>
          <w:rFonts w:hint="eastAsia" w:ascii="宋体" w:hAnsi="宋体" w:eastAsia="宋体" w:cs="宋体"/>
          <w:bCs/>
          <w:szCs w:val="16"/>
        </w:rPr>
        <w:t>（</w:t>
      </w:r>
      <w:r>
        <w:rPr>
          <w:rFonts w:hint="eastAsia" w:ascii="宋体" w:hAnsi="宋体" w:eastAsia="宋体" w:cs="宋体"/>
          <w:bCs/>
          <w:szCs w:val="21"/>
        </w:rPr>
        <w:t>签章</w:t>
      </w:r>
      <w:r>
        <w:rPr>
          <w:rFonts w:hint="eastAsia" w:ascii="宋体" w:hAnsi="宋体" w:eastAsia="宋体" w:cs="宋体"/>
          <w:bCs/>
          <w:szCs w:val="16"/>
        </w:rPr>
        <w:t>）                   </w:t>
      </w:r>
    </w:p>
    <w:p w14:paraId="61A988DF">
      <w:pPr>
        <w:spacing w:line="360" w:lineRule="auto"/>
        <w:ind w:firstLine="1050" w:firstLineChars="500"/>
        <w:rPr>
          <w:rFonts w:ascii="宋体" w:hAnsi="宋体" w:eastAsia="宋体" w:cs="宋体"/>
          <w:bCs/>
          <w:szCs w:val="16"/>
          <w:u w:val="single"/>
        </w:rPr>
      </w:pPr>
      <w:r>
        <w:rPr>
          <w:rFonts w:hint="eastAsia" w:ascii="宋体" w:hAnsi="宋体" w:eastAsia="宋体" w:cs="宋体"/>
          <w:bCs/>
          <w:szCs w:val="16"/>
        </w:rPr>
        <w:t>法定代表人： （签章）</w:t>
      </w:r>
      <w:r>
        <w:rPr>
          <w:rFonts w:hint="eastAsia" w:ascii="宋体" w:hAnsi="宋体" w:eastAsia="宋体" w:cs="宋体"/>
          <w:bCs/>
          <w:szCs w:val="16"/>
          <w:u w:val="single"/>
        </w:rPr>
        <w:t xml:space="preserve">                  </w:t>
      </w:r>
    </w:p>
    <w:p w14:paraId="604226FF">
      <w:pPr>
        <w:spacing w:line="360" w:lineRule="auto"/>
        <w:ind w:firstLine="2205" w:firstLineChars="1050"/>
        <w:rPr>
          <w:rFonts w:ascii="宋体" w:hAnsi="宋体" w:eastAsia="宋体" w:cs="宋体"/>
          <w:bCs/>
          <w:szCs w:val="16"/>
        </w:rPr>
      </w:pPr>
      <w:r>
        <w:rPr>
          <w:rFonts w:hint="eastAsia" w:ascii="宋体" w:hAnsi="宋体" w:eastAsia="宋体" w:cs="宋体"/>
          <w:bCs/>
          <w:szCs w:val="16"/>
        </w:rPr>
        <w:t>日  期：</w:t>
      </w:r>
      <w:r>
        <w:rPr>
          <w:rFonts w:hint="eastAsia" w:ascii="宋体" w:hAnsi="宋体" w:eastAsia="宋体" w:cs="宋体"/>
          <w:bCs/>
          <w:szCs w:val="16"/>
          <w:u w:val="single"/>
        </w:rPr>
        <w:t xml:space="preserve">                   </w:t>
      </w:r>
    </w:p>
    <w:p w14:paraId="14E901FB">
      <w:pPr>
        <w:spacing w:line="360" w:lineRule="auto"/>
        <w:ind w:firstLine="2205" w:firstLineChars="1050"/>
        <w:rPr>
          <w:rFonts w:ascii="宋体" w:hAnsi="宋体" w:eastAsia="宋体" w:cs="宋体"/>
          <w:bCs/>
          <w:szCs w:val="16"/>
        </w:rPr>
      </w:pPr>
      <w:r>
        <w:rPr>
          <w:rFonts w:hint="eastAsia" w:ascii="宋体" w:hAnsi="宋体" w:eastAsia="宋体" w:cs="宋体"/>
          <w:bCs/>
          <w:szCs w:val="16"/>
        </w:rPr>
        <w:t>通讯地址：</w:t>
      </w:r>
      <w:r>
        <w:rPr>
          <w:rFonts w:hint="eastAsia" w:ascii="宋体" w:hAnsi="宋体" w:eastAsia="宋体" w:cs="宋体"/>
          <w:bCs/>
          <w:szCs w:val="16"/>
          <w:u w:val="single"/>
        </w:rPr>
        <w:t xml:space="preserve">                  </w:t>
      </w:r>
      <w:r>
        <w:rPr>
          <w:rFonts w:hint="eastAsia" w:ascii="宋体" w:hAnsi="宋体" w:eastAsia="宋体" w:cs="宋体"/>
          <w:bCs/>
          <w:szCs w:val="16"/>
        </w:rPr>
        <w:t xml:space="preserve">                </w:t>
      </w:r>
    </w:p>
    <w:p w14:paraId="627A8B03">
      <w:pPr>
        <w:spacing w:line="360" w:lineRule="auto"/>
        <w:ind w:firstLine="2205" w:firstLineChars="1050"/>
        <w:rPr>
          <w:rFonts w:ascii="宋体" w:hAnsi="宋体" w:eastAsia="宋体" w:cs="宋体"/>
          <w:bCs/>
          <w:szCs w:val="16"/>
        </w:rPr>
      </w:pPr>
      <w:r>
        <w:rPr>
          <w:rFonts w:hint="eastAsia" w:ascii="宋体" w:hAnsi="宋体" w:eastAsia="宋体" w:cs="宋体"/>
          <w:bCs/>
          <w:szCs w:val="16"/>
        </w:rPr>
        <w:t>电   话：</w:t>
      </w:r>
      <w:r>
        <w:rPr>
          <w:rFonts w:hint="eastAsia" w:ascii="宋体" w:hAnsi="宋体" w:eastAsia="宋体" w:cs="宋体"/>
          <w:bCs/>
          <w:szCs w:val="16"/>
          <w:u w:val="single"/>
        </w:rPr>
        <w:t xml:space="preserve">                   </w:t>
      </w:r>
    </w:p>
    <w:p w14:paraId="2D873D77">
      <w:pPr>
        <w:spacing w:line="360" w:lineRule="auto"/>
        <w:ind w:right="-178" w:rightChars="-85" w:firstLine="2205" w:firstLineChars="1050"/>
        <w:rPr>
          <w:rFonts w:ascii="宋体" w:hAnsi="宋体" w:eastAsia="宋体" w:cs="宋体"/>
          <w:bCs/>
          <w:szCs w:val="16"/>
          <w:u w:val="single"/>
        </w:rPr>
      </w:pPr>
      <w:r>
        <w:rPr>
          <w:rFonts w:hint="eastAsia" w:ascii="宋体" w:hAnsi="宋体" w:eastAsia="宋体" w:cs="宋体"/>
          <w:bCs/>
          <w:szCs w:val="16"/>
        </w:rPr>
        <w:t>传   真：</w:t>
      </w:r>
      <w:r>
        <w:rPr>
          <w:rFonts w:hint="eastAsia" w:ascii="宋体" w:hAnsi="宋体" w:eastAsia="宋体" w:cs="宋体"/>
          <w:bCs/>
          <w:szCs w:val="16"/>
          <w:u w:val="single"/>
        </w:rPr>
        <w:t xml:space="preserve">                   </w:t>
      </w:r>
    </w:p>
    <w:p w14:paraId="387AEDA6">
      <w:pPr>
        <w:jc w:val="center"/>
        <w:rPr>
          <w:rFonts w:ascii="宋体" w:hAnsi="宋体" w:eastAsia="宋体" w:cs="宋体"/>
          <w:bCs/>
          <w:sz w:val="24"/>
          <w:szCs w:val="24"/>
        </w:rPr>
      </w:pPr>
    </w:p>
    <w:p w14:paraId="320BF6F9">
      <w:pPr>
        <w:spacing w:line="400" w:lineRule="exact"/>
        <w:rPr>
          <w:rFonts w:hint="eastAsia" w:ascii="宋体" w:hAnsi="宋体" w:eastAsia="宋体" w:cs="宋体"/>
          <w:b/>
          <w:bCs/>
          <w:szCs w:val="21"/>
        </w:rPr>
      </w:pPr>
    </w:p>
    <w:p w14:paraId="3D61C980">
      <w:pPr>
        <w:spacing w:line="400" w:lineRule="exact"/>
        <w:rPr>
          <w:rFonts w:ascii="宋体" w:hAnsi="宋体" w:eastAsia="宋体" w:cs="宋体"/>
          <w:b/>
          <w:bCs/>
          <w:szCs w:val="21"/>
        </w:rPr>
      </w:pPr>
    </w:p>
    <w:p w14:paraId="34792EF5">
      <w:pPr>
        <w:spacing w:line="360" w:lineRule="auto"/>
        <w:jc w:val="center"/>
        <w:outlineLvl w:val="1"/>
        <w:rPr>
          <w:rFonts w:asciiTheme="minorEastAsia" w:hAnsiTheme="minorEastAsia" w:eastAsiaTheme="minorEastAsia"/>
          <w:b/>
          <w:sz w:val="24"/>
        </w:rPr>
      </w:pPr>
      <w:bookmarkStart w:id="324" w:name="_Toc461056632"/>
      <w:bookmarkStart w:id="325" w:name="_Toc461053087"/>
      <w:bookmarkStart w:id="326" w:name="_Toc28695"/>
      <w:bookmarkStart w:id="327" w:name="_Toc520983588"/>
      <w:bookmarkStart w:id="328" w:name="_Toc32436"/>
    </w:p>
    <w:p w14:paraId="6082E6F7">
      <w:pPr>
        <w:spacing w:line="360" w:lineRule="auto"/>
        <w:jc w:val="center"/>
        <w:outlineLvl w:val="1"/>
        <w:rPr>
          <w:rFonts w:asciiTheme="minorEastAsia" w:hAnsiTheme="minorEastAsia" w:eastAsiaTheme="minorEastAsia"/>
          <w:b/>
          <w:sz w:val="24"/>
        </w:rPr>
      </w:pPr>
    </w:p>
    <w:p w14:paraId="09239E3D">
      <w:pPr>
        <w:spacing w:line="360" w:lineRule="auto"/>
        <w:jc w:val="center"/>
        <w:outlineLvl w:val="1"/>
        <w:rPr>
          <w:rFonts w:asciiTheme="minorEastAsia" w:hAnsiTheme="minorEastAsia" w:eastAsiaTheme="minorEastAsia"/>
          <w:b/>
          <w:sz w:val="24"/>
        </w:rPr>
      </w:pPr>
    </w:p>
    <w:p w14:paraId="1E89AB6B">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w:t>
      </w:r>
      <w:bookmarkEnd w:id="324"/>
      <w:bookmarkEnd w:id="325"/>
      <w:r>
        <w:rPr>
          <w:rFonts w:hint="eastAsia" w:asciiTheme="minorEastAsia" w:hAnsiTheme="minorEastAsia" w:eastAsiaTheme="minorEastAsia"/>
          <w:b/>
          <w:sz w:val="24"/>
        </w:rPr>
        <w:t>、最后承诺报价表</w:t>
      </w:r>
      <w:bookmarkEnd w:id="326"/>
      <w:bookmarkEnd w:id="327"/>
      <w:bookmarkEnd w:id="328"/>
    </w:p>
    <w:p w14:paraId="4F860936">
      <w:pPr>
        <w:spacing w:beforeLines="50" w:afterLines="50" w:line="360" w:lineRule="auto"/>
        <w:ind w:firstLine="236" w:firstLineChars="98"/>
        <w:jc w:val="center"/>
        <w:rPr>
          <w:rFonts w:ascii="宋体" w:hAnsi="宋体" w:eastAsia="宋体"/>
          <w:b/>
          <w:sz w:val="24"/>
          <w:szCs w:val="28"/>
        </w:rPr>
      </w:pPr>
      <w:r>
        <w:rPr>
          <w:rFonts w:hint="eastAsia" w:ascii="宋体" w:hAnsi="宋体" w:eastAsia="宋体"/>
          <w:b/>
          <w:sz w:val="24"/>
          <w:szCs w:val="28"/>
        </w:rPr>
        <w:t>（第</w:t>
      </w:r>
      <w:r>
        <w:rPr>
          <w:rFonts w:hint="eastAsia" w:ascii="宋体" w:hAnsi="宋体" w:eastAsia="宋体"/>
          <w:b/>
          <w:sz w:val="24"/>
          <w:szCs w:val="28"/>
          <w:u w:val="single"/>
        </w:rPr>
        <w:t xml:space="preserve">   </w:t>
      </w:r>
      <w:r>
        <w:rPr>
          <w:rFonts w:hint="eastAsia" w:ascii="宋体" w:hAnsi="宋体" w:eastAsia="宋体"/>
          <w:b/>
          <w:sz w:val="24"/>
          <w:szCs w:val="28"/>
        </w:rPr>
        <w:t>次报价书）</w:t>
      </w:r>
    </w:p>
    <w:p w14:paraId="3DF3E0F6">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p>
    <w:p w14:paraId="58EE32E9">
      <w:pPr>
        <w:snapToGrid w:val="0"/>
        <w:spacing w:afterLines="50" w:line="360" w:lineRule="auto"/>
        <w:jc w:val="left"/>
        <w:rPr>
          <w:rFonts w:ascii="宋体" w:hAnsi="宋体" w:eastAsia="宋体"/>
          <w:b/>
          <w:bCs/>
          <w:sz w:val="24"/>
          <w:szCs w:val="28"/>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32FDD7E">
        <w:tblPrEx>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93B8978">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6290D124">
            <w:pPr>
              <w:spacing w:line="360" w:lineRule="auto"/>
              <w:rPr>
                <w:rFonts w:ascii="宋体" w:hAnsi="宋体" w:eastAsia="宋体"/>
                <w:b/>
                <w:sz w:val="24"/>
              </w:rPr>
            </w:pPr>
          </w:p>
        </w:tc>
      </w:tr>
      <w:tr w14:paraId="42BE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7B21479">
            <w:pPr>
              <w:spacing w:line="360" w:lineRule="exact"/>
              <w:jc w:val="center"/>
              <w:rPr>
                <w:rFonts w:ascii="宋体" w:hAnsi="宋体" w:eastAsia="宋体"/>
                <w:b/>
                <w:sz w:val="24"/>
              </w:rPr>
            </w:pPr>
            <w:r>
              <w:rPr>
                <w:rFonts w:hint="eastAsia" w:ascii="宋体" w:hAnsi="宋体" w:eastAsia="宋体"/>
                <w:b/>
                <w:bCs/>
                <w:sz w:val="24"/>
                <w:szCs w:val="28"/>
              </w:rPr>
              <w:t>磋商</w:t>
            </w:r>
            <w:r>
              <w:rPr>
                <w:rFonts w:hint="eastAsia" w:ascii="宋体" w:hAnsi="宋体" w:eastAsia="宋体"/>
                <w:b/>
                <w:sz w:val="24"/>
              </w:rPr>
              <w:t>范围</w:t>
            </w:r>
          </w:p>
        </w:tc>
        <w:tc>
          <w:tcPr>
            <w:tcW w:w="3557" w:type="pct"/>
            <w:tcBorders>
              <w:left w:val="single" w:color="auto" w:sz="4" w:space="0"/>
            </w:tcBorders>
            <w:vAlign w:val="center"/>
          </w:tcPr>
          <w:p w14:paraId="63D52F65">
            <w:pPr>
              <w:widowControl/>
              <w:spacing w:line="360" w:lineRule="exact"/>
              <w:rPr>
                <w:rFonts w:ascii="宋体" w:hAnsi="宋体" w:eastAsia="宋体"/>
                <w:b/>
                <w:sz w:val="24"/>
              </w:rPr>
            </w:pPr>
            <w:r>
              <w:rPr>
                <w:rFonts w:hint="eastAsia" w:asciiTheme="minorEastAsia" w:hAnsiTheme="minorEastAsia" w:eastAsiaTheme="minorEastAsia"/>
                <w:sz w:val="24"/>
                <w:szCs w:val="28"/>
              </w:rPr>
              <w:t>全部 / 第</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包</w:t>
            </w:r>
          </w:p>
        </w:tc>
      </w:tr>
      <w:tr w14:paraId="18A5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6CB3FEDE">
            <w:pPr>
              <w:spacing w:line="360" w:lineRule="auto"/>
              <w:jc w:val="center"/>
              <w:rPr>
                <w:rFonts w:ascii="宋体" w:hAnsi="宋体" w:eastAsia="宋体"/>
                <w:b/>
                <w:sz w:val="24"/>
              </w:rPr>
            </w:pPr>
            <w:r>
              <w:rPr>
                <w:rFonts w:hint="eastAsia" w:ascii="宋体" w:hAnsi="宋体" w:eastAsia="宋体"/>
                <w:b/>
                <w:bCs/>
                <w:sz w:val="24"/>
                <w:szCs w:val="28"/>
              </w:rPr>
              <w:t>最后报价</w:t>
            </w:r>
          </w:p>
          <w:p w14:paraId="19C90589">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3B5DAF58">
            <w:pPr>
              <w:snapToGrid w:val="0"/>
              <w:spacing w:line="360" w:lineRule="auto"/>
              <w:rPr>
                <w:rFonts w:ascii="宋体" w:hAnsi="宋体" w:eastAsia="宋体"/>
                <w:sz w:val="24"/>
                <w:szCs w:val="28"/>
              </w:rPr>
            </w:pPr>
          </w:p>
          <w:p w14:paraId="170CDB92">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14:paraId="1FFDDCAC">
            <w:pPr>
              <w:spacing w:line="360" w:lineRule="auto"/>
              <w:ind w:right="-670"/>
              <w:rPr>
                <w:rFonts w:ascii="宋体" w:hAnsi="宋体" w:eastAsia="宋体"/>
                <w:b/>
                <w:sz w:val="24"/>
              </w:rPr>
            </w:pPr>
            <w:r>
              <w:rPr>
                <w:rFonts w:hint="eastAsia" w:ascii="宋体" w:hAnsi="宋体" w:eastAsia="宋体" w:cs="宋体"/>
                <w:bCs/>
                <w:sz w:val="24"/>
                <w:szCs w:val="24"/>
              </w:rPr>
              <w:t>人民币小写：</w:t>
            </w:r>
            <w:r>
              <w:rPr>
                <w:rFonts w:hint="eastAsia" w:ascii="宋体" w:hAnsi="宋体" w:eastAsia="宋体" w:cs="宋体"/>
                <w:bCs/>
                <w:sz w:val="24"/>
                <w:szCs w:val="24"/>
                <w:u w:val="single"/>
              </w:rPr>
              <w:t xml:space="preserve">                     </w:t>
            </w:r>
          </w:p>
        </w:tc>
      </w:tr>
      <w:tr w14:paraId="7AC5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442" w:type="pct"/>
            <w:vAlign w:val="center"/>
          </w:tcPr>
          <w:p w14:paraId="540F081E">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72442FF2">
            <w:pPr>
              <w:spacing w:line="360" w:lineRule="auto"/>
              <w:rPr>
                <w:rFonts w:ascii="宋体" w:hAnsi="宋体" w:eastAsia="宋体"/>
                <w:b/>
                <w:sz w:val="24"/>
              </w:rPr>
            </w:pPr>
            <w:r>
              <w:rPr>
                <w:rFonts w:hint="eastAsia" w:asciiTheme="majorEastAsia" w:hAnsiTheme="majorEastAsia" w:eastAsiaTheme="majorEastAsia" w:cstheme="majorEastAsia"/>
                <w:sz w:val="28"/>
                <w:szCs w:val="28"/>
              </w:rPr>
              <w:t>声明：我方在报价前，已认真阅读《竞争性谈判文件》，理解并完全响应文本中所有实质性要求。</w:t>
            </w:r>
          </w:p>
        </w:tc>
      </w:tr>
    </w:tbl>
    <w:p w14:paraId="7F68C181">
      <w:pPr>
        <w:spacing w:line="360" w:lineRule="auto"/>
        <w:ind w:firstLine="3600" w:firstLineChars="1500"/>
        <w:jc w:val="left"/>
        <w:rPr>
          <w:rFonts w:ascii="宋体" w:hAnsi="宋体" w:eastAsia="宋体"/>
          <w:sz w:val="24"/>
          <w:u w:val="single"/>
        </w:rPr>
      </w:pPr>
      <w:r>
        <w:rPr>
          <w:rFonts w:hint="eastAsia" w:ascii="宋体" w:hAnsi="宋体" w:eastAsia="宋体"/>
          <w:sz w:val="24"/>
        </w:rPr>
        <w:t>供应商公章：</w:t>
      </w:r>
      <w:r>
        <w:rPr>
          <w:rFonts w:hint="eastAsia" w:ascii="宋体" w:hAnsi="宋体" w:eastAsia="宋体"/>
          <w:sz w:val="24"/>
          <w:u w:val="single"/>
        </w:rPr>
        <w:t xml:space="preserve">                           </w:t>
      </w:r>
    </w:p>
    <w:p w14:paraId="03900B63">
      <w:pPr>
        <w:spacing w:line="360" w:lineRule="auto"/>
        <w:ind w:firstLine="3600" w:firstLineChars="1500"/>
        <w:jc w:val="left"/>
        <w:rPr>
          <w:rFonts w:ascii="宋体" w:hAnsi="宋体" w:eastAsia="宋体"/>
          <w:sz w:val="24"/>
        </w:rPr>
      </w:pPr>
      <w:r>
        <w:rPr>
          <w:rFonts w:hint="eastAsia" w:ascii="宋体" w:hAnsi="宋体" w:eastAsia="宋体"/>
          <w:sz w:val="24"/>
        </w:rPr>
        <w:t>法定代表人或授权代表签字：</w:t>
      </w:r>
      <w:r>
        <w:rPr>
          <w:rFonts w:hint="eastAsia" w:ascii="宋体" w:hAnsi="宋体" w:eastAsia="宋体"/>
          <w:sz w:val="24"/>
          <w:u w:val="single"/>
        </w:rPr>
        <w:t xml:space="preserve">             </w:t>
      </w:r>
    </w:p>
    <w:p w14:paraId="5273C1EB">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442595AD">
      <w:pPr>
        <w:spacing w:line="360" w:lineRule="auto"/>
        <w:jc w:val="left"/>
        <w:rPr>
          <w:rFonts w:ascii="宋体" w:hAnsi="宋体" w:eastAsia="宋体"/>
          <w:b/>
          <w:bCs/>
          <w:sz w:val="24"/>
        </w:rPr>
      </w:pPr>
      <w:r>
        <w:rPr>
          <w:rFonts w:hint="eastAsia" w:ascii="宋体" w:hAnsi="宋体" w:eastAsia="宋体"/>
          <w:b/>
          <w:bCs/>
          <w:sz w:val="24"/>
        </w:rPr>
        <w:t>注：</w:t>
      </w:r>
    </w:p>
    <w:p w14:paraId="548AE3A6">
      <w:pPr>
        <w:spacing w:line="360" w:lineRule="auto"/>
        <w:ind w:firstLine="482" w:firstLineChars="200"/>
        <w:jc w:val="left"/>
        <w:rPr>
          <w:rFonts w:ascii="宋体" w:hAnsi="宋体" w:eastAsia="宋体"/>
          <w:bCs/>
          <w:sz w:val="24"/>
        </w:rPr>
      </w:pPr>
      <w:r>
        <w:rPr>
          <w:rFonts w:hint="eastAsia" w:ascii="宋体" w:hAnsi="宋体" w:eastAsia="宋体"/>
          <w:b/>
          <w:bCs/>
          <w:sz w:val="24"/>
        </w:rPr>
        <w:t>1.本页《报价表》由供应商在接到报价通知后依据磋商情况填写,并在规定时间内提交。</w:t>
      </w:r>
      <w:r>
        <w:rPr>
          <w:rFonts w:hint="eastAsia" w:ascii="宋体" w:hAnsi="宋体" w:eastAsia="宋体"/>
          <w:sz w:val="24"/>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sz w:val="24"/>
        </w:rPr>
        <w:t>此优惠率调整原则适用于合同内价格的计算及项目增减、变更时价格的计算。</w:t>
      </w:r>
    </w:p>
    <w:p w14:paraId="1D27D9B7">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2.表中大写金额与小写金额不一致的，以大写金额为准。</w:t>
      </w:r>
    </w:p>
    <w:p w14:paraId="3516BE4A">
      <w:pPr>
        <w:spacing w:line="360" w:lineRule="exact"/>
        <w:ind w:firstLine="354" w:firstLineChars="147"/>
        <w:jc w:val="left"/>
        <w:rPr>
          <w:rFonts w:ascii="宋体" w:hAnsi="宋体" w:eastAsia="宋体" w:cs="宋体"/>
          <w:b/>
          <w:color w:val="FF0000"/>
          <w:sz w:val="30"/>
          <w:szCs w:val="30"/>
        </w:rPr>
      </w:pPr>
      <w:r>
        <w:rPr>
          <w:rFonts w:hint="eastAsia" w:ascii="宋体" w:hAnsi="宋体" w:eastAsia="宋体" w:cs="宋体"/>
          <w:b/>
          <w:bCs/>
          <w:sz w:val="24"/>
          <w:szCs w:val="28"/>
        </w:rPr>
        <w:t>3.</w:t>
      </w:r>
      <w:r>
        <w:rPr>
          <w:rFonts w:hint="eastAsia" w:ascii="宋体" w:hAnsi="宋体" w:eastAsia="宋体" w:cs="宋体"/>
          <w:b/>
          <w:color w:val="FF0000"/>
          <w:sz w:val="30"/>
          <w:szCs w:val="30"/>
        </w:rPr>
        <w:t>（本表无需附至响应文件中，二次报价时使用）</w:t>
      </w:r>
    </w:p>
    <w:p w14:paraId="48B71976">
      <w:pPr>
        <w:spacing w:line="400" w:lineRule="exact"/>
        <w:jc w:val="center"/>
        <w:rPr>
          <w:rFonts w:ascii="宋体" w:hAnsi="宋体" w:eastAsia="宋体" w:cs="宋体"/>
          <w:b/>
          <w:kern w:val="0"/>
          <w:szCs w:val="21"/>
          <w:u w:color="000000"/>
        </w:rPr>
      </w:pPr>
      <w:r>
        <w:rPr>
          <w:rFonts w:hint="eastAsia" w:ascii="宋体" w:hAnsi="宋体" w:eastAsia="宋体" w:cs="宋体"/>
          <w:b/>
          <w:bCs/>
          <w:szCs w:val="21"/>
        </w:rPr>
        <w:t>（4）供应商认为需要提供的其他证明材料（如有）</w:t>
      </w:r>
    </w:p>
    <w:p w14:paraId="77147913">
      <w:pPr>
        <w:pStyle w:val="21"/>
        <w:ind w:left="0" w:firstLine="0"/>
        <w:rPr>
          <w:rFonts w:ascii="宋体" w:hAnsi="宋体" w:eastAsia="宋体"/>
          <w:b/>
          <w:kern w:val="0"/>
          <w:sz w:val="21"/>
          <w:szCs w:val="21"/>
          <w:u w:color="000000"/>
        </w:rPr>
      </w:pPr>
    </w:p>
    <w:bookmarkEnd w:id="321"/>
    <w:bookmarkEnd w:id="322"/>
    <w:bookmarkEnd w:id="323"/>
    <w:p w14:paraId="1E6F02E0">
      <w:pPr>
        <w:spacing w:line="360" w:lineRule="auto"/>
        <w:jc w:val="center"/>
        <w:outlineLvl w:val="0"/>
        <w:rPr>
          <w:rFonts w:ascii="宋体" w:hAnsi="宋体" w:eastAsia="宋体"/>
          <w:b/>
          <w:bCs/>
          <w:sz w:val="28"/>
        </w:rPr>
      </w:pPr>
      <w:r>
        <w:rPr>
          <w:rFonts w:hint="eastAsia" w:ascii="宋体" w:hAnsi="宋体" w:eastAsia="宋体"/>
          <w:b/>
          <w:bCs/>
          <w:sz w:val="28"/>
        </w:rPr>
        <w:t xml:space="preserve">第七章  </w:t>
      </w:r>
      <w:bookmarkEnd w:id="259"/>
      <w:r>
        <w:rPr>
          <w:rFonts w:hint="eastAsia" w:ascii="宋体" w:hAnsi="宋体" w:eastAsia="宋体"/>
          <w:b/>
          <w:bCs/>
          <w:sz w:val="28"/>
        </w:rPr>
        <w:t>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260"/>
    </w:p>
    <w:p w14:paraId="57B81D42">
      <w:pPr>
        <w:spacing w:line="360" w:lineRule="auto"/>
        <w:jc w:val="center"/>
        <w:outlineLvl w:val="1"/>
        <w:rPr>
          <w:rFonts w:ascii="仿宋" w:hAnsi="仿宋" w:eastAsia="仿宋" w:cs="仿宋"/>
          <w:b/>
          <w:bCs/>
          <w:sz w:val="32"/>
          <w:szCs w:val="44"/>
        </w:rPr>
      </w:pPr>
      <w:bookmarkStart w:id="329" w:name="_Toc14289"/>
      <w:bookmarkStart w:id="330" w:name="_Toc21379"/>
      <w:r>
        <w:rPr>
          <w:rFonts w:hint="eastAsia" w:ascii="仿宋" w:hAnsi="仿宋" w:eastAsia="仿宋" w:cs="仿宋"/>
          <w:b/>
          <w:bCs/>
          <w:sz w:val="32"/>
          <w:szCs w:val="44"/>
        </w:rPr>
        <w:t>询问函范本</w:t>
      </w:r>
      <w:bookmarkEnd w:id="329"/>
      <w:bookmarkEnd w:id="330"/>
    </w:p>
    <w:p w14:paraId="72B83DDF">
      <w:pPr>
        <w:adjustRightInd w:val="0"/>
        <w:snapToGrid w:val="0"/>
        <w:spacing w:line="360" w:lineRule="auto"/>
        <w:ind w:firstLine="480" w:firstLineChars="200"/>
        <w:jc w:val="center"/>
        <w:rPr>
          <w:rFonts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（如为对采购文件或采购程序的询问或疑问，请按询问函范本或电子交易系统中网上询问格式附件进行提交）</w:t>
      </w:r>
    </w:p>
    <w:p w14:paraId="30342BA0">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14:paraId="4442D5B1">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415DEEE9">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331" w:name="_Toc2480"/>
      <w:bookmarkStart w:id="332" w:name="_Toc3649"/>
      <w:r>
        <w:rPr>
          <w:rFonts w:hint="eastAsia" w:cs="仿宋" w:asciiTheme="minorEastAsia" w:hAnsiTheme="minorEastAsia" w:eastAsiaTheme="minorEastAsia"/>
          <w:sz w:val="24"/>
          <w:szCs w:val="24"/>
        </w:rPr>
        <w:t>一、(事项一)</w:t>
      </w:r>
      <w:bookmarkEnd w:id="331"/>
      <w:bookmarkEnd w:id="332"/>
    </w:p>
    <w:p w14:paraId="51AD1069">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0D9408F6">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01DB3B3F">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405F4132">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333" w:name="_Toc20253"/>
      <w:bookmarkStart w:id="334" w:name="_Toc24442"/>
      <w:r>
        <w:rPr>
          <w:rFonts w:hint="eastAsia" w:cs="仿宋" w:asciiTheme="minorEastAsia" w:hAnsiTheme="minorEastAsia" w:eastAsiaTheme="minorEastAsia"/>
          <w:sz w:val="24"/>
          <w:szCs w:val="24"/>
        </w:rPr>
        <w:t>二、(事项二)</w:t>
      </w:r>
      <w:bookmarkEnd w:id="333"/>
      <w:bookmarkEnd w:id="334"/>
    </w:p>
    <w:p w14:paraId="09D4EC53">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9AECA2E">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1EDD3F40">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246FA80E">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2313229D">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5A0A1C92">
      <w:pPr>
        <w:rPr>
          <w:rFonts w:asciiTheme="minorEastAsia" w:hAnsiTheme="minorEastAsia" w:eastAsiaTheme="minorEastAsia"/>
          <w:b/>
          <w:sz w:val="52"/>
        </w:rPr>
      </w:pPr>
      <w:r>
        <w:rPr>
          <w:rFonts w:hint="eastAsia" w:ascii="仿宋" w:hAnsi="仿宋" w:eastAsia="仿宋" w:cs="仿宋"/>
          <w:b/>
          <w:bCs/>
          <w:sz w:val="32"/>
          <w:szCs w:val="44"/>
        </w:rPr>
        <w:br w:type="page"/>
      </w:r>
    </w:p>
    <w:p w14:paraId="7812B715">
      <w:pPr>
        <w:jc w:val="center"/>
        <w:outlineLvl w:val="1"/>
        <w:rPr>
          <w:rFonts w:ascii="仿宋" w:hAnsi="仿宋" w:eastAsia="仿宋" w:cs="仿宋"/>
          <w:b/>
          <w:bCs/>
          <w:sz w:val="32"/>
          <w:szCs w:val="44"/>
        </w:rPr>
      </w:pPr>
      <w:bookmarkStart w:id="335" w:name="_Toc30360"/>
      <w:bookmarkStart w:id="336" w:name="_Toc31349"/>
      <w:r>
        <w:rPr>
          <w:rFonts w:hint="eastAsia" w:ascii="仿宋" w:hAnsi="仿宋" w:eastAsia="仿宋" w:cs="仿宋"/>
          <w:b/>
          <w:bCs/>
          <w:sz w:val="32"/>
          <w:szCs w:val="44"/>
        </w:rPr>
        <w:t>质疑函范本</w:t>
      </w:r>
      <w:bookmarkEnd w:id="335"/>
      <w:bookmarkEnd w:id="336"/>
    </w:p>
    <w:p w14:paraId="05E185AD">
      <w:pPr>
        <w:adjustRightInd w:val="0"/>
        <w:snapToGrid w:val="0"/>
        <w:spacing w:beforeLines="100" w:line="360" w:lineRule="auto"/>
        <w:outlineLvl w:val="1"/>
        <w:rPr>
          <w:rFonts w:cs="仿宋" w:asciiTheme="minorEastAsia" w:hAnsiTheme="minorEastAsia" w:eastAsiaTheme="minorEastAsia"/>
          <w:b/>
          <w:bCs/>
          <w:sz w:val="24"/>
          <w:szCs w:val="24"/>
        </w:rPr>
      </w:pPr>
      <w:bookmarkStart w:id="337" w:name="_Toc9084"/>
      <w:bookmarkStart w:id="338" w:name="_Toc16214"/>
      <w:r>
        <w:rPr>
          <w:rFonts w:hint="eastAsia" w:cs="仿宋" w:asciiTheme="minorEastAsia" w:hAnsiTheme="minorEastAsia" w:eastAsiaTheme="minorEastAsia"/>
          <w:b/>
          <w:bCs/>
          <w:sz w:val="24"/>
          <w:szCs w:val="24"/>
        </w:rPr>
        <w:t>一、质疑供应商基本信息</w:t>
      </w:r>
      <w:bookmarkEnd w:id="337"/>
      <w:bookmarkEnd w:id="338"/>
    </w:p>
    <w:p w14:paraId="3F5ABE4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187DE83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698AAB03">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0834D017">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14B4B3E5">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799C25D0">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7A7A0842">
      <w:pPr>
        <w:adjustRightInd w:val="0"/>
        <w:snapToGrid w:val="0"/>
        <w:spacing w:line="360" w:lineRule="auto"/>
        <w:outlineLvl w:val="1"/>
        <w:rPr>
          <w:rFonts w:cs="仿宋" w:asciiTheme="minorEastAsia" w:hAnsiTheme="minorEastAsia" w:eastAsiaTheme="minorEastAsia"/>
          <w:b/>
          <w:bCs/>
          <w:sz w:val="24"/>
          <w:szCs w:val="24"/>
        </w:rPr>
      </w:pPr>
      <w:bookmarkStart w:id="339" w:name="_Toc10725"/>
      <w:bookmarkStart w:id="340" w:name="_Toc21253"/>
      <w:r>
        <w:rPr>
          <w:rFonts w:hint="eastAsia" w:cs="仿宋" w:asciiTheme="minorEastAsia" w:hAnsiTheme="minorEastAsia" w:eastAsiaTheme="minorEastAsia"/>
          <w:b/>
          <w:bCs/>
          <w:sz w:val="24"/>
          <w:szCs w:val="24"/>
        </w:rPr>
        <w:t>二、质疑项目基本情况</w:t>
      </w:r>
      <w:bookmarkEnd w:id="339"/>
      <w:bookmarkEnd w:id="340"/>
    </w:p>
    <w:p w14:paraId="25DFFBFF">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7F3FC0EE">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6BB5A5F7">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70A6D59B">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6BD60055">
      <w:pPr>
        <w:adjustRightInd w:val="0"/>
        <w:snapToGrid w:val="0"/>
        <w:spacing w:line="360" w:lineRule="auto"/>
        <w:outlineLvl w:val="1"/>
        <w:rPr>
          <w:rFonts w:cs="仿宋" w:asciiTheme="minorEastAsia" w:hAnsiTheme="minorEastAsia" w:eastAsiaTheme="minorEastAsia"/>
          <w:b/>
          <w:bCs/>
          <w:sz w:val="24"/>
          <w:szCs w:val="24"/>
        </w:rPr>
      </w:pPr>
      <w:bookmarkStart w:id="341" w:name="_Toc21719"/>
      <w:bookmarkStart w:id="342" w:name="_Toc15102"/>
      <w:r>
        <w:rPr>
          <w:rFonts w:hint="eastAsia" w:cs="仿宋" w:asciiTheme="minorEastAsia" w:hAnsiTheme="minorEastAsia" w:eastAsiaTheme="minorEastAsia"/>
          <w:b/>
          <w:bCs/>
          <w:sz w:val="24"/>
          <w:szCs w:val="24"/>
        </w:rPr>
        <w:t>三、质疑事项具体内容</w:t>
      </w:r>
      <w:bookmarkEnd w:id="341"/>
      <w:bookmarkEnd w:id="342"/>
    </w:p>
    <w:p w14:paraId="294EB836">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20208111">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701AA432">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6B5E3FA4">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594CAEA2">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47404AF3">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122F9D0">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C5D48F2">
      <w:pPr>
        <w:adjustRightInd w:val="0"/>
        <w:snapToGrid w:val="0"/>
        <w:spacing w:line="360" w:lineRule="auto"/>
        <w:outlineLvl w:val="1"/>
        <w:rPr>
          <w:rFonts w:cs="仿宋" w:asciiTheme="minorEastAsia" w:hAnsiTheme="minorEastAsia" w:eastAsiaTheme="minorEastAsia"/>
          <w:b/>
          <w:bCs/>
          <w:sz w:val="24"/>
          <w:szCs w:val="24"/>
        </w:rPr>
      </w:pPr>
      <w:bookmarkStart w:id="343" w:name="_Toc4496"/>
      <w:bookmarkStart w:id="344" w:name="_Toc5067"/>
      <w:r>
        <w:rPr>
          <w:rFonts w:hint="eastAsia" w:cs="仿宋" w:asciiTheme="minorEastAsia" w:hAnsiTheme="minorEastAsia" w:eastAsiaTheme="minorEastAsia"/>
          <w:b/>
          <w:bCs/>
          <w:sz w:val="24"/>
          <w:szCs w:val="24"/>
        </w:rPr>
        <w:t>四、与质疑事项相关的质疑请求</w:t>
      </w:r>
      <w:bookmarkEnd w:id="343"/>
      <w:bookmarkEnd w:id="344"/>
    </w:p>
    <w:p w14:paraId="6936C816">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0541511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42D71F3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64FEE216">
      <w:pPr>
        <w:widowControl/>
        <w:jc w:val="left"/>
        <w:rPr>
          <w:rFonts w:ascii="仿宋" w:hAnsi="仿宋" w:eastAsia="仿宋" w:cs="仿宋"/>
          <w:sz w:val="32"/>
          <w:szCs w:val="32"/>
        </w:rPr>
      </w:pPr>
      <w:r>
        <w:rPr>
          <w:rFonts w:ascii="仿宋" w:hAnsi="仿宋" w:eastAsia="仿宋" w:cs="仿宋"/>
          <w:sz w:val="32"/>
          <w:szCs w:val="32"/>
        </w:rPr>
        <w:br w:type="page"/>
      </w:r>
    </w:p>
    <w:p w14:paraId="0361321C">
      <w:pPr>
        <w:outlineLvl w:val="0"/>
        <w:rPr>
          <w:rFonts w:asciiTheme="minorEastAsia" w:hAnsiTheme="minorEastAsia" w:eastAsiaTheme="minorEastAsia"/>
          <w:b/>
          <w:sz w:val="28"/>
          <w:szCs w:val="32"/>
        </w:rPr>
      </w:pPr>
      <w:bookmarkStart w:id="345" w:name="_Toc27243"/>
      <w:bookmarkStart w:id="346" w:name="_Toc14824"/>
      <w:r>
        <w:rPr>
          <w:rFonts w:hint="eastAsia" w:asciiTheme="minorEastAsia" w:hAnsiTheme="minorEastAsia" w:eastAsiaTheme="minorEastAsia"/>
          <w:b/>
          <w:sz w:val="28"/>
          <w:szCs w:val="32"/>
        </w:rPr>
        <w:t>质疑函制作说明：</w:t>
      </w:r>
      <w:bookmarkEnd w:id="345"/>
      <w:bookmarkEnd w:id="346"/>
    </w:p>
    <w:p w14:paraId="3D2EBC8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32AF6A5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A1E84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6474D4D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2EB2C6F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45CAC09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23EF7">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A966">
    <w:pPr>
      <w:pStyle w:val="18"/>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67435" cy="1727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67435" cy="172720"/>
                      </a:xfrm>
                      <a:prstGeom prst="rect">
                        <a:avLst/>
                      </a:prstGeom>
                      <a:noFill/>
                      <a:ln w="6350">
                        <a:noFill/>
                      </a:ln>
                      <a:effectLst/>
                    </wps:spPr>
                    <wps:txbx>
                      <w:txbxContent>
                        <w:p w14:paraId="50B71C0E">
                          <w:pPr>
                            <w:pStyle w:val="18"/>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63</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3.6pt;width:84.05pt;mso-position-horizontal:center;mso-position-horizontal-relative:margin;mso-wrap-style:none;z-index:251659264;mso-width-relative:page;mso-height-relative:page;" filled="f" stroked="f" coordsize="21600,21600" o:gfxdata="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Iqh6rSAAAABAEAAA8AAAAAAAAAAQAgAAAAIgAAAGRycy9kb3ducmV2Lnht&#10;bFBLAQIUABQAAAAIAIdO4kCpj9hUOAIAAGIEAAAOAAAAAAAAAAEAIAAAACEBAABkcnMvZTJvRG9j&#10;LnhtbFBLBQYAAAAABgAGAFkBAADLBQAAAAA=&#10;">
              <v:fill on="f" focussize="0,0"/>
              <v:stroke on="f" weight="0.5pt"/>
              <v:imagedata o:title=""/>
              <o:lock v:ext="edit" aspectratio="f"/>
              <v:textbox inset="0mm,0mm,0mm,0mm" style="mso-fit-shape-to-text:t;">
                <w:txbxContent>
                  <w:p w14:paraId="50B71C0E">
                    <w:pPr>
                      <w:pStyle w:val="18"/>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63</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03D0A">
    <w:pPr>
      <w:pStyle w:val="19"/>
      <w:jc w:val="both"/>
      <w:rPr>
        <w:rFonts w:eastAsia="宋体"/>
      </w:rPr>
    </w:pPr>
    <w:r>
      <w:rPr>
        <w:rFonts w:hint="eastAsia" w:ascii="宋体" w:hAnsi="宋体" w:eastAsia="宋体"/>
      </w:rPr>
      <w:t>安徽省政府采购项目竞争性磋商文件示范文本（服务类）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3A8E5">
    <w:pPr>
      <w:pStyle w:val="19"/>
      <w:jc w:val="both"/>
      <w:rPr>
        <w:rFonts w:eastAsia="宋体"/>
      </w:rPr>
    </w:pPr>
    <w:r>
      <w:rPr>
        <w:rFonts w:hint="eastAsia" w:ascii="宋体" w:hAnsi="宋体" w:eastAsia="宋体"/>
      </w:rPr>
      <w:t>安徽省政府采购项目竞争性磋商文件示范文本（服务类）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BD10C"/>
    <w:multiLevelType w:val="singleLevel"/>
    <w:tmpl w:val="769BD1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NjZkMDNiZWRkZjExMjFhNjA4OGI0OGU1YmY3YjUifQ=="/>
  </w:docVars>
  <w:rsids>
    <w:rsidRoot w:val="00276BA1"/>
    <w:rsid w:val="0000043F"/>
    <w:rsid w:val="000037F9"/>
    <w:rsid w:val="000049DA"/>
    <w:rsid w:val="000056B7"/>
    <w:rsid w:val="000131F7"/>
    <w:rsid w:val="00013B44"/>
    <w:rsid w:val="00014039"/>
    <w:rsid w:val="00014397"/>
    <w:rsid w:val="00016B6C"/>
    <w:rsid w:val="000201D0"/>
    <w:rsid w:val="00020B57"/>
    <w:rsid w:val="00023DA5"/>
    <w:rsid w:val="00025EBE"/>
    <w:rsid w:val="000300E1"/>
    <w:rsid w:val="000371D3"/>
    <w:rsid w:val="00040C25"/>
    <w:rsid w:val="00042139"/>
    <w:rsid w:val="00042B14"/>
    <w:rsid w:val="00044F49"/>
    <w:rsid w:val="000450C3"/>
    <w:rsid w:val="00050A3F"/>
    <w:rsid w:val="000648D2"/>
    <w:rsid w:val="00066B5B"/>
    <w:rsid w:val="00070E0E"/>
    <w:rsid w:val="0007146E"/>
    <w:rsid w:val="00076DB7"/>
    <w:rsid w:val="00080FEB"/>
    <w:rsid w:val="00086B11"/>
    <w:rsid w:val="00092139"/>
    <w:rsid w:val="00094D41"/>
    <w:rsid w:val="000970FA"/>
    <w:rsid w:val="00097CB9"/>
    <w:rsid w:val="000A10A9"/>
    <w:rsid w:val="000A29F6"/>
    <w:rsid w:val="000A63D6"/>
    <w:rsid w:val="000A6693"/>
    <w:rsid w:val="000A7970"/>
    <w:rsid w:val="000A7D94"/>
    <w:rsid w:val="000B1511"/>
    <w:rsid w:val="000C0507"/>
    <w:rsid w:val="000C1DB1"/>
    <w:rsid w:val="000D3F37"/>
    <w:rsid w:val="000E3C74"/>
    <w:rsid w:val="000E3F9B"/>
    <w:rsid w:val="000E478E"/>
    <w:rsid w:val="000E628B"/>
    <w:rsid w:val="000E6689"/>
    <w:rsid w:val="000E6A94"/>
    <w:rsid w:val="000F0385"/>
    <w:rsid w:val="000F172B"/>
    <w:rsid w:val="000F2198"/>
    <w:rsid w:val="000F39B6"/>
    <w:rsid w:val="000F4D42"/>
    <w:rsid w:val="000F50F9"/>
    <w:rsid w:val="000F6B7B"/>
    <w:rsid w:val="00100B0F"/>
    <w:rsid w:val="0010187C"/>
    <w:rsid w:val="00101E00"/>
    <w:rsid w:val="0010219C"/>
    <w:rsid w:val="0010350F"/>
    <w:rsid w:val="001037E3"/>
    <w:rsid w:val="00105603"/>
    <w:rsid w:val="00106749"/>
    <w:rsid w:val="00115A0F"/>
    <w:rsid w:val="00116502"/>
    <w:rsid w:val="0011660B"/>
    <w:rsid w:val="0012143A"/>
    <w:rsid w:val="001258BA"/>
    <w:rsid w:val="001301E2"/>
    <w:rsid w:val="00135135"/>
    <w:rsid w:val="00140687"/>
    <w:rsid w:val="00141B76"/>
    <w:rsid w:val="001433FB"/>
    <w:rsid w:val="00143E86"/>
    <w:rsid w:val="00146421"/>
    <w:rsid w:val="00153B20"/>
    <w:rsid w:val="001554EE"/>
    <w:rsid w:val="00155F64"/>
    <w:rsid w:val="00157856"/>
    <w:rsid w:val="00160729"/>
    <w:rsid w:val="00166794"/>
    <w:rsid w:val="00166ED8"/>
    <w:rsid w:val="001714C9"/>
    <w:rsid w:val="001747C1"/>
    <w:rsid w:val="0018119B"/>
    <w:rsid w:val="001844AB"/>
    <w:rsid w:val="001853C7"/>
    <w:rsid w:val="00186900"/>
    <w:rsid w:val="00190B35"/>
    <w:rsid w:val="00192879"/>
    <w:rsid w:val="001944B8"/>
    <w:rsid w:val="00196DA3"/>
    <w:rsid w:val="001A526C"/>
    <w:rsid w:val="001A68E5"/>
    <w:rsid w:val="001A7562"/>
    <w:rsid w:val="001B2A54"/>
    <w:rsid w:val="001B2BA4"/>
    <w:rsid w:val="001B5014"/>
    <w:rsid w:val="001B54B9"/>
    <w:rsid w:val="001B7327"/>
    <w:rsid w:val="001D22EA"/>
    <w:rsid w:val="001D53B4"/>
    <w:rsid w:val="001E1835"/>
    <w:rsid w:val="001F19A3"/>
    <w:rsid w:val="001F28D2"/>
    <w:rsid w:val="001F2F45"/>
    <w:rsid w:val="001F3023"/>
    <w:rsid w:val="001F35F6"/>
    <w:rsid w:val="001F74CA"/>
    <w:rsid w:val="001F7590"/>
    <w:rsid w:val="002003B6"/>
    <w:rsid w:val="00201A3A"/>
    <w:rsid w:val="0020244A"/>
    <w:rsid w:val="00204609"/>
    <w:rsid w:val="002049B4"/>
    <w:rsid w:val="0020520B"/>
    <w:rsid w:val="002076AD"/>
    <w:rsid w:val="00213C55"/>
    <w:rsid w:val="00214D78"/>
    <w:rsid w:val="0021525B"/>
    <w:rsid w:val="00223CF4"/>
    <w:rsid w:val="00224C4A"/>
    <w:rsid w:val="00231187"/>
    <w:rsid w:val="0023407E"/>
    <w:rsid w:val="00240B40"/>
    <w:rsid w:val="00242931"/>
    <w:rsid w:val="00244182"/>
    <w:rsid w:val="00244B75"/>
    <w:rsid w:val="0024520F"/>
    <w:rsid w:val="0025179B"/>
    <w:rsid w:val="0025335E"/>
    <w:rsid w:val="002544A1"/>
    <w:rsid w:val="00257ECE"/>
    <w:rsid w:val="00260B94"/>
    <w:rsid w:val="00264F2E"/>
    <w:rsid w:val="00271245"/>
    <w:rsid w:val="00274A9E"/>
    <w:rsid w:val="00276BA1"/>
    <w:rsid w:val="00280984"/>
    <w:rsid w:val="002820F0"/>
    <w:rsid w:val="002835E3"/>
    <w:rsid w:val="00283B52"/>
    <w:rsid w:val="00284245"/>
    <w:rsid w:val="00284542"/>
    <w:rsid w:val="002958EB"/>
    <w:rsid w:val="002A14D1"/>
    <w:rsid w:val="002A1A1D"/>
    <w:rsid w:val="002A28AD"/>
    <w:rsid w:val="002A5732"/>
    <w:rsid w:val="002B04FD"/>
    <w:rsid w:val="002B2E25"/>
    <w:rsid w:val="002B33B1"/>
    <w:rsid w:val="002B5318"/>
    <w:rsid w:val="002B6D27"/>
    <w:rsid w:val="002B7903"/>
    <w:rsid w:val="002B7A09"/>
    <w:rsid w:val="002C060C"/>
    <w:rsid w:val="002C0B0E"/>
    <w:rsid w:val="002D05DD"/>
    <w:rsid w:val="002D2965"/>
    <w:rsid w:val="002D3D02"/>
    <w:rsid w:val="002D4CB5"/>
    <w:rsid w:val="002D679B"/>
    <w:rsid w:val="002D684B"/>
    <w:rsid w:val="002E10B0"/>
    <w:rsid w:val="002E2D3A"/>
    <w:rsid w:val="002E3B26"/>
    <w:rsid w:val="002E4AB8"/>
    <w:rsid w:val="002E7FC4"/>
    <w:rsid w:val="00300A7F"/>
    <w:rsid w:val="00310070"/>
    <w:rsid w:val="0031081B"/>
    <w:rsid w:val="003110EC"/>
    <w:rsid w:val="0031271F"/>
    <w:rsid w:val="00316F83"/>
    <w:rsid w:val="003206A6"/>
    <w:rsid w:val="00322CCA"/>
    <w:rsid w:val="0032560D"/>
    <w:rsid w:val="00327C92"/>
    <w:rsid w:val="00333292"/>
    <w:rsid w:val="003344E7"/>
    <w:rsid w:val="0033580B"/>
    <w:rsid w:val="003365E7"/>
    <w:rsid w:val="003378D5"/>
    <w:rsid w:val="003473D7"/>
    <w:rsid w:val="00351AC8"/>
    <w:rsid w:val="00353075"/>
    <w:rsid w:val="00353DF7"/>
    <w:rsid w:val="00360384"/>
    <w:rsid w:val="00361773"/>
    <w:rsid w:val="00363E02"/>
    <w:rsid w:val="00373A96"/>
    <w:rsid w:val="00376763"/>
    <w:rsid w:val="003826C2"/>
    <w:rsid w:val="00383728"/>
    <w:rsid w:val="003839AF"/>
    <w:rsid w:val="00385435"/>
    <w:rsid w:val="003903BB"/>
    <w:rsid w:val="0039070B"/>
    <w:rsid w:val="00392627"/>
    <w:rsid w:val="00394128"/>
    <w:rsid w:val="00394ADC"/>
    <w:rsid w:val="00395235"/>
    <w:rsid w:val="0039561A"/>
    <w:rsid w:val="00397C7D"/>
    <w:rsid w:val="003A004F"/>
    <w:rsid w:val="003A092F"/>
    <w:rsid w:val="003B4130"/>
    <w:rsid w:val="003B715B"/>
    <w:rsid w:val="003C0225"/>
    <w:rsid w:val="003C2C62"/>
    <w:rsid w:val="003C465B"/>
    <w:rsid w:val="003D1D14"/>
    <w:rsid w:val="003D6C7C"/>
    <w:rsid w:val="003D6EFB"/>
    <w:rsid w:val="003D7E52"/>
    <w:rsid w:val="003E0891"/>
    <w:rsid w:val="003E25BA"/>
    <w:rsid w:val="003E25C6"/>
    <w:rsid w:val="003F7528"/>
    <w:rsid w:val="004011AA"/>
    <w:rsid w:val="0040202C"/>
    <w:rsid w:val="0040584F"/>
    <w:rsid w:val="00406508"/>
    <w:rsid w:val="00413275"/>
    <w:rsid w:val="0041456E"/>
    <w:rsid w:val="00414F7E"/>
    <w:rsid w:val="004164F8"/>
    <w:rsid w:val="00420B0F"/>
    <w:rsid w:val="00426F05"/>
    <w:rsid w:val="00430A4D"/>
    <w:rsid w:val="004328E1"/>
    <w:rsid w:val="00440DFE"/>
    <w:rsid w:val="004413A1"/>
    <w:rsid w:val="004427B7"/>
    <w:rsid w:val="0044349F"/>
    <w:rsid w:val="004444BC"/>
    <w:rsid w:val="004446D7"/>
    <w:rsid w:val="00445F1F"/>
    <w:rsid w:val="00451F60"/>
    <w:rsid w:val="00452BB2"/>
    <w:rsid w:val="00456054"/>
    <w:rsid w:val="0045656D"/>
    <w:rsid w:val="004616AC"/>
    <w:rsid w:val="00462D98"/>
    <w:rsid w:val="00463E7D"/>
    <w:rsid w:val="00470551"/>
    <w:rsid w:val="00472A44"/>
    <w:rsid w:val="00473A89"/>
    <w:rsid w:val="0047588B"/>
    <w:rsid w:val="00475899"/>
    <w:rsid w:val="00480645"/>
    <w:rsid w:val="00482C78"/>
    <w:rsid w:val="0048634A"/>
    <w:rsid w:val="004874AE"/>
    <w:rsid w:val="00494D24"/>
    <w:rsid w:val="004951D1"/>
    <w:rsid w:val="004960BB"/>
    <w:rsid w:val="00497568"/>
    <w:rsid w:val="004A27D0"/>
    <w:rsid w:val="004A4D67"/>
    <w:rsid w:val="004A52C6"/>
    <w:rsid w:val="004B1DF6"/>
    <w:rsid w:val="004B6B25"/>
    <w:rsid w:val="004C13CB"/>
    <w:rsid w:val="004C2DCB"/>
    <w:rsid w:val="004D3D4B"/>
    <w:rsid w:val="004D5498"/>
    <w:rsid w:val="004D66A5"/>
    <w:rsid w:val="004D6B00"/>
    <w:rsid w:val="004E1600"/>
    <w:rsid w:val="004E1D50"/>
    <w:rsid w:val="004E2E18"/>
    <w:rsid w:val="004E50CA"/>
    <w:rsid w:val="004E6B46"/>
    <w:rsid w:val="004F27A0"/>
    <w:rsid w:val="00501382"/>
    <w:rsid w:val="00510798"/>
    <w:rsid w:val="005125F1"/>
    <w:rsid w:val="00516181"/>
    <w:rsid w:val="00524A11"/>
    <w:rsid w:val="00527768"/>
    <w:rsid w:val="00530EA4"/>
    <w:rsid w:val="005327FB"/>
    <w:rsid w:val="00533FCA"/>
    <w:rsid w:val="005401AC"/>
    <w:rsid w:val="005470D4"/>
    <w:rsid w:val="00555FBF"/>
    <w:rsid w:val="00557A99"/>
    <w:rsid w:val="00557AF5"/>
    <w:rsid w:val="005616B5"/>
    <w:rsid w:val="005672A1"/>
    <w:rsid w:val="005679A4"/>
    <w:rsid w:val="00572FEB"/>
    <w:rsid w:val="005751F5"/>
    <w:rsid w:val="00582296"/>
    <w:rsid w:val="0059223D"/>
    <w:rsid w:val="00597B15"/>
    <w:rsid w:val="00597FA2"/>
    <w:rsid w:val="005A044C"/>
    <w:rsid w:val="005A149F"/>
    <w:rsid w:val="005B1C79"/>
    <w:rsid w:val="005B34C9"/>
    <w:rsid w:val="005B7044"/>
    <w:rsid w:val="005D0200"/>
    <w:rsid w:val="005D0E24"/>
    <w:rsid w:val="005D44EF"/>
    <w:rsid w:val="005D5112"/>
    <w:rsid w:val="005D5D67"/>
    <w:rsid w:val="005F00A2"/>
    <w:rsid w:val="005F17B5"/>
    <w:rsid w:val="005F34CC"/>
    <w:rsid w:val="005F3914"/>
    <w:rsid w:val="005F3B5A"/>
    <w:rsid w:val="005F6AB4"/>
    <w:rsid w:val="005F742B"/>
    <w:rsid w:val="00601130"/>
    <w:rsid w:val="006011B7"/>
    <w:rsid w:val="0060265C"/>
    <w:rsid w:val="00607471"/>
    <w:rsid w:val="00610A66"/>
    <w:rsid w:val="00613177"/>
    <w:rsid w:val="00613B97"/>
    <w:rsid w:val="00613CBB"/>
    <w:rsid w:val="00613F7C"/>
    <w:rsid w:val="00614BF2"/>
    <w:rsid w:val="0061557C"/>
    <w:rsid w:val="00621321"/>
    <w:rsid w:val="00623DE2"/>
    <w:rsid w:val="0062488A"/>
    <w:rsid w:val="00627601"/>
    <w:rsid w:val="006300D0"/>
    <w:rsid w:val="00632012"/>
    <w:rsid w:val="00634694"/>
    <w:rsid w:val="00634F32"/>
    <w:rsid w:val="00636517"/>
    <w:rsid w:val="00637506"/>
    <w:rsid w:val="00637690"/>
    <w:rsid w:val="00640E1E"/>
    <w:rsid w:val="0064389A"/>
    <w:rsid w:val="00644157"/>
    <w:rsid w:val="00645442"/>
    <w:rsid w:val="006525CD"/>
    <w:rsid w:val="006533A8"/>
    <w:rsid w:val="00653F7F"/>
    <w:rsid w:val="00655751"/>
    <w:rsid w:val="00661B51"/>
    <w:rsid w:val="00662EE8"/>
    <w:rsid w:val="006637A0"/>
    <w:rsid w:val="00663813"/>
    <w:rsid w:val="00664AFD"/>
    <w:rsid w:val="00667567"/>
    <w:rsid w:val="00667EFD"/>
    <w:rsid w:val="0067391A"/>
    <w:rsid w:val="00674173"/>
    <w:rsid w:val="006776ED"/>
    <w:rsid w:val="00677D87"/>
    <w:rsid w:val="00683F8C"/>
    <w:rsid w:val="0068671B"/>
    <w:rsid w:val="00690C63"/>
    <w:rsid w:val="00690DB1"/>
    <w:rsid w:val="00691808"/>
    <w:rsid w:val="00693404"/>
    <w:rsid w:val="006953D9"/>
    <w:rsid w:val="006953E9"/>
    <w:rsid w:val="006958DB"/>
    <w:rsid w:val="006A1269"/>
    <w:rsid w:val="006A5803"/>
    <w:rsid w:val="006A69C3"/>
    <w:rsid w:val="006A6E46"/>
    <w:rsid w:val="006A7C15"/>
    <w:rsid w:val="006B1242"/>
    <w:rsid w:val="006B1DBC"/>
    <w:rsid w:val="006B2725"/>
    <w:rsid w:val="006B4B83"/>
    <w:rsid w:val="006B7D9A"/>
    <w:rsid w:val="006C06D9"/>
    <w:rsid w:val="006C3E22"/>
    <w:rsid w:val="006C5716"/>
    <w:rsid w:val="006C64B2"/>
    <w:rsid w:val="006C74A9"/>
    <w:rsid w:val="006D07DE"/>
    <w:rsid w:val="006D27FC"/>
    <w:rsid w:val="006D361A"/>
    <w:rsid w:val="006E06D9"/>
    <w:rsid w:val="006E1D40"/>
    <w:rsid w:val="006E2E1F"/>
    <w:rsid w:val="006E5059"/>
    <w:rsid w:val="006F0B0C"/>
    <w:rsid w:val="006F5F03"/>
    <w:rsid w:val="006F5FFF"/>
    <w:rsid w:val="006F76FD"/>
    <w:rsid w:val="00710804"/>
    <w:rsid w:val="00711FC6"/>
    <w:rsid w:val="007130B1"/>
    <w:rsid w:val="00715071"/>
    <w:rsid w:val="00720D0D"/>
    <w:rsid w:val="007231E9"/>
    <w:rsid w:val="00724F0E"/>
    <w:rsid w:val="00726883"/>
    <w:rsid w:val="00727C59"/>
    <w:rsid w:val="00727D01"/>
    <w:rsid w:val="00732E61"/>
    <w:rsid w:val="00733730"/>
    <w:rsid w:val="00734E5D"/>
    <w:rsid w:val="00736013"/>
    <w:rsid w:val="007364A4"/>
    <w:rsid w:val="00737BF8"/>
    <w:rsid w:val="0074339B"/>
    <w:rsid w:val="00754A35"/>
    <w:rsid w:val="00755F95"/>
    <w:rsid w:val="00756245"/>
    <w:rsid w:val="00761662"/>
    <w:rsid w:val="00762484"/>
    <w:rsid w:val="00764043"/>
    <w:rsid w:val="007741E7"/>
    <w:rsid w:val="007757CF"/>
    <w:rsid w:val="007768DB"/>
    <w:rsid w:val="0078128F"/>
    <w:rsid w:val="007819D9"/>
    <w:rsid w:val="0078238F"/>
    <w:rsid w:val="00782760"/>
    <w:rsid w:val="0078683C"/>
    <w:rsid w:val="00790EDB"/>
    <w:rsid w:val="00791538"/>
    <w:rsid w:val="007916A4"/>
    <w:rsid w:val="00792379"/>
    <w:rsid w:val="0079326E"/>
    <w:rsid w:val="00796EDE"/>
    <w:rsid w:val="007A4BE6"/>
    <w:rsid w:val="007A5A58"/>
    <w:rsid w:val="007B0221"/>
    <w:rsid w:val="007B1C56"/>
    <w:rsid w:val="007C1DD7"/>
    <w:rsid w:val="007C3CD5"/>
    <w:rsid w:val="007C5E88"/>
    <w:rsid w:val="007C61EF"/>
    <w:rsid w:val="007D1C0D"/>
    <w:rsid w:val="007D2D23"/>
    <w:rsid w:val="007E27D6"/>
    <w:rsid w:val="007E324F"/>
    <w:rsid w:val="007E3921"/>
    <w:rsid w:val="007F41B5"/>
    <w:rsid w:val="007F4C8B"/>
    <w:rsid w:val="00801028"/>
    <w:rsid w:val="0080102A"/>
    <w:rsid w:val="00803793"/>
    <w:rsid w:val="00804000"/>
    <w:rsid w:val="00814AC1"/>
    <w:rsid w:val="00817A01"/>
    <w:rsid w:val="00820E1F"/>
    <w:rsid w:val="00825E35"/>
    <w:rsid w:val="00830A4E"/>
    <w:rsid w:val="008334F8"/>
    <w:rsid w:val="00835FFD"/>
    <w:rsid w:val="008524CE"/>
    <w:rsid w:val="0086440C"/>
    <w:rsid w:val="00864709"/>
    <w:rsid w:val="00866781"/>
    <w:rsid w:val="00876659"/>
    <w:rsid w:val="00876C2C"/>
    <w:rsid w:val="0087734C"/>
    <w:rsid w:val="00882141"/>
    <w:rsid w:val="00886CEA"/>
    <w:rsid w:val="008876EC"/>
    <w:rsid w:val="008922A8"/>
    <w:rsid w:val="00894482"/>
    <w:rsid w:val="008948E1"/>
    <w:rsid w:val="00895BD5"/>
    <w:rsid w:val="0089759F"/>
    <w:rsid w:val="008A16C4"/>
    <w:rsid w:val="008A5860"/>
    <w:rsid w:val="008A6FED"/>
    <w:rsid w:val="008B397B"/>
    <w:rsid w:val="008B39C5"/>
    <w:rsid w:val="008B4F19"/>
    <w:rsid w:val="008B51AA"/>
    <w:rsid w:val="008B6C5C"/>
    <w:rsid w:val="008C67F2"/>
    <w:rsid w:val="008D064A"/>
    <w:rsid w:val="008D2B0F"/>
    <w:rsid w:val="008D5DBB"/>
    <w:rsid w:val="008E449E"/>
    <w:rsid w:val="008E4BDD"/>
    <w:rsid w:val="008E4D92"/>
    <w:rsid w:val="008E6CAA"/>
    <w:rsid w:val="008E770C"/>
    <w:rsid w:val="008F187F"/>
    <w:rsid w:val="008F1CE3"/>
    <w:rsid w:val="008F39F1"/>
    <w:rsid w:val="008F402F"/>
    <w:rsid w:val="008F7498"/>
    <w:rsid w:val="008F76E8"/>
    <w:rsid w:val="00901A9C"/>
    <w:rsid w:val="009078A1"/>
    <w:rsid w:val="00911E9C"/>
    <w:rsid w:val="00913D20"/>
    <w:rsid w:val="00913EC6"/>
    <w:rsid w:val="00917405"/>
    <w:rsid w:val="00920F7C"/>
    <w:rsid w:val="00924743"/>
    <w:rsid w:val="0092578B"/>
    <w:rsid w:val="009324E0"/>
    <w:rsid w:val="00934CAE"/>
    <w:rsid w:val="00942337"/>
    <w:rsid w:val="0094257D"/>
    <w:rsid w:val="009456B8"/>
    <w:rsid w:val="009506BB"/>
    <w:rsid w:val="0095467C"/>
    <w:rsid w:val="00954A61"/>
    <w:rsid w:val="00955C6F"/>
    <w:rsid w:val="009609B5"/>
    <w:rsid w:val="00960B6E"/>
    <w:rsid w:val="00966799"/>
    <w:rsid w:val="00966C7B"/>
    <w:rsid w:val="009701DC"/>
    <w:rsid w:val="009715D8"/>
    <w:rsid w:val="009811A8"/>
    <w:rsid w:val="0098596B"/>
    <w:rsid w:val="009917C4"/>
    <w:rsid w:val="00995BF9"/>
    <w:rsid w:val="009A0CAF"/>
    <w:rsid w:val="009A1328"/>
    <w:rsid w:val="009A2207"/>
    <w:rsid w:val="009A2833"/>
    <w:rsid w:val="009A2E68"/>
    <w:rsid w:val="009A6E1E"/>
    <w:rsid w:val="009B0EDA"/>
    <w:rsid w:val="009B6C42"/>
    <w:rsid w:val="009C1DDC"/>
    <w:rsid w:val="009C2812"/>
    <w:rsid w:val="009C2C44"/>
    <w:rsid w:val="009C411A"/>
    <w:rsid w:val="009D2998"/>
    <w:rsid w:val="009D31F7"/>
    <w:rsid w:val="009D32C2"/>
    <w:rsid w:val="009D50DB"/>
    <w:rsid w:val="009E0D86"/>
    <w:rsid w:val="009E2932"/>
    <w:rsid w:val="009E3A0A"/>
    <w:rsid w:val="009E7112"/>
    <w:rsid w:val="009F172C"/>
    <w:rsid w:val="009F3E91"/>
    <w:rsid w:val="00A008DA"/>
    <w:rsid w:val="00A028AD"/>
    <w:rsid w:val="00A0571E"/>
    <w:rsid w:val="00A077B8"/>
    <w:rsid w:val="00A1035B"/>
    <w:rsid w:val="00A10F6D"/>
    <w:rsid w:val="00A1499B"/>
    <w:rsid w:val="00A30A1B"/>
    <w:rsid w:val="00A314C2"/>
    <w:rsid w:val="00A44C5D"/>
    <w:rsid w:val="00A519A0"/>
    <w:rsid w:val="00A5659A"/>
    <w:rsid w:val="00A62A2E"/>
    <w:rsid w:val="00A63E86"/>
    <w:rsid w:val="00A757C3"/>
    <w:rsid w:val="00A75DE5"/>
    <w:rsid w:val="00A75E5B"/>
    <w:rsid w:val="00A7684A"/>
    <w:rsid w:val="00A83B69"/>
    <w:rsid w:val="00A845DC"/>
    <w:rsid w:val="00A86533"/>
    <w:rsid w:val="00A9145F"/>
    <w:rsid w:val="00A91CA2"/>
    <w:rsid w:val="00A92FB8"/>
    <w:rsid w:val="00A945A0"/>
    <w:rsid w:val="00A948F1"/>
    <w:rsid w:val="00A9514D"/>
    <w:rsid w:val="00AA18F9"/>
    <w:rsid w:val="00AA1D7D"/>
    <w:rsid w:val="00AA2790"/>
    <w:rsid w:val="00AA2DB0"/>
    <w:rsid w:val="00AA3806"/>
    <w:rsid w:val="00AB09AF"/>
    <w:rsid w:val="00AB139D"/>
    <w:rsid w:val="00AB2D05"/>
    <w:rsid w:val="00AB3EFB"/>
    <w:rsid w:val="00AB6F9E"/>
    <w:rsid w:val="00AC0B05"/>
    <w:rsid w:val="00AC7F9D"/>
    <w:rsid w:val="00AD079A"/>
    <w:rsid w:val="00AD1890"/>
    <w:rsid w:val="00AD5488"/>
    <w:rsid w:val="00AE133A"/>
    <w:rsid w:val="00AE2149"/>
    <w:rsid w:val="00AE33AE"/>
    <w:rsid w:val="00AE3F91"/>
    <w:rsid w:val="00AE4410"/>
    <w:rsid w:val="00AF2AE0"/>
    <w:rsid w:val="00AF3C78"/>
    <w:rsid w:val="00AF67FF"/>
    <w:rsid w:val="00B0053D"/>
    <w:rsid w:val="00B039E3"/>
    <w:rsid w:val="00B06D36"/>
    <w:rsid w:val="00B12BC4"/>
    <w:rsid w:val="00B130F2"/>
    <w:rsid w:val="00B16A06"/>
    <w:rsid w:val="00B22838"/>
    <w:rsid w:val="00B250B3"/>
    <w:rsid w:val="00B311CE"/>
    <w:rsid w:val="00B33098"/>
    <w:rsid w:val="00B33E95"/>
    <w:rsid w:val="00B3720B"/>
    <w:rsid w:val="00B45D0B"/>
    <w:rsid w:val="00B5558A"/>
    <w:rsid w:val="00B56513"/>
    <w:rsid w:val="00B63B5E"/>
    <w:rsid w:val="00B64376"/>
    <w:rsid w:val="00B6570C"/>
    <w:rsid w:val="00B710DD"/>
    <w:rsid w:val="00B7401F"/>
    <w:rsid w:val="00B74F38"/>
    <w:rsid w:val="00B769CF"/>
    <w:rsid w:val="00B806C3"/>
    <w:rsid w:val="00B80D6F"/>
    <w:rsid w:val="00B81F16"/>
    <w:rsid w:val="00B8383C"/>
    <w:rsid w:val="00B84FCA"/>
    <w:rsid w:val="00B9089F"/>
    <w:rsid w:val="00B91826"/>
    <w:rsid w:val="00B91AEE"/>
    <w:rsid w:val="00B9570D"/>
    <w:rsid w:val="00B95F5A"/>
    <w:rsid w:val="00B96EAD"/>
    <w:rsid w:val="00BA5F8D"/>
    <w:rsid w:val="00BA79F5"/>
    <w:rsid w:val="00BB0778"/>
    <w:rsid w:val="00BB1747"/>
    <w:rsid w:val="00BB38FB"/>
    <w:rsid w:val="00BB3AB6"/>
    <w:rsid w:val="00BB7161"/>
    <w:rsid w:val="00BB766D"/>
    <w:rsid w:val="00BB7A50"/>
    <w:rsid w:val="00BC007B"/>
    <w:rsid w:val="00BC02BB"/>
    <w:rsid w:val="00BC26BA"/>
    <w:rsid w:val="00BC35F8"/>
    <w:rsid w:val="00BC481B"/>
    <w:rsid w:val="00BC7182"/>
    <w:rsid w:val="00BD2771"/>
    <w:rsid w:val="00BD617C"/>
    <w:rsid w:val="00BD67FE"/>
    <w:rsid w:val="00BD74F3"/>
    <w:rsid w:val="00BE3708"/>
    <w:rsid w:val="00BE6C63"/>
    <w:rsid w:val="00BF3649"/>
    <w:rsid w:val="00BF376F"/>
    <w:rsid w:val="00BF46A6"/>
    <w:rsid w:val="00BF71FB"/>
    <w:rsid w:val="00C00091"/>
    <w:rsid w:val="00C0253F"/>
    <w:rsid w:val="00C06545"/>
    <w:rsid w:val="00C134AF"/>
    <w:rsid w:val="00C220FC"/>
    <w:rsid w:val="00C24DFA"/>
    <w:rsid w:val="00C24F9D"/>
    <w:rsid w:val="00C26C8F"/>
    <w:rsid w:val="00C30182"/>
    <w:rsid w:val="00C31FC9"/>
    <w:rsid w:val="00C35CF0"/>
    <w:rsid w:val="00C363BA"/>
    <w:rsid w:val="00C37A63"/>
    <w:rsid w:val="00C46A36"/>
    <w:rsid w:val="00C47037"/>
    <w:rsid w:val="00C474C6"/>
    <w:rsid w:val="00C53625"/>
    <w:rsid w:val="00C53E9F"/>
    <w:rsid w:val="00C548BA"/>
    <w:rsid w:val="00C5759F"/>
    <w:rsid w:val="00C57784"/>
    <w:rsid w:val="00C602C1"/>
    <w:rsid w:val="00C636EB"/>
    <w:rsid w:val="00C63FC0"/>
    <w:rsid w:val="00C66392"/>
    <w:rsid w:val="00C67A46"/>
    <w:rsid w:val="00C70834"/>
    <w:rsid w:val="00C73D09"/>
    <w:rsid w:val="00C74C5E"/>
    <w:rsid w:val="00C77127"/>
    <w:rsid w:val="00C82558"/>
    <w:rsid w:val="00C827A2"/>
    <w:rsid w:val="00C82B69"/>
    <w:rsid w:val="00C82CB3"/>
    <w:rsid w:val="00C90A4F"/>
    <w:rsid w:val="00C91B28"/>
    <w:rsid w:val="00C91F3A"/>
    <w:rsid w:val="00C93590"/>
    <w:rsid w:val="00C950DD"/>
    <w:rsid w:val="00CA02EB"/>
    <w:rsid w:val="00CA5446"/>
    <w:rsid w:val="00CB218D"/>
    <w:rsid w:val="00CB5625"/>
    <w:rsid w:val="00CB5797"/>
    <w:rsid w:val="00CB74F9"/>
    <w:rsid w:val="00CC1C17"/>
    <w:rsid w:val="00CC4F7F"/>
    <w:rsid w:val="00CD09E1"/>
    <w:rsid w:val="00CD420D"/>
    <w:rsid w:val="00CE1780"/>
    <w:rsid w:val="00CE4913"/>
    <w:rsid w:val="00CE66BD"/>
    <w:rsid w:val="00CF0671"/>
    <w:rsid w:val="00CF247A"/>
    <w:rsid w:val="00CF44AD"/>
    <w:rsid w:val="00CF4FC0"/>
    <w:rsid w:val="00D1072F"/>
    <w:rsid w:val="00D108A5"/>
    <w:rsid w:val="00D14585"/>
    <w:rsid w:val="00D20EFF"/>
    <w:rsid w:val="00D21A9B"/>
    <w:rsid w:val="00D30BA4"/>
    <w:rsid w:val="00D31324"/>
    <w:rsid w:val="00D53ED8"/>
    <w:rsid w:val="00D55C38"/>
    <w:rsid w:val="00D64857"/>
    <w:rsid w:val="00D6493A"/>
    <w:rsid w:val="00D649A5"/>
    <w:rsid w:val="00D67875"/>
    <w:rsid w:val="00D719B9"/>
    <w:rsid w:val="00D71E86"/>
    <w:rsid w:val="00D731C6"/>
    <w:rsid w:val="00D745C5"/>
    <w:rsid w:val="00D75327"/>
    <w:rsid w:val="00D77148"/>
    <w:rsid w:val="00D80038"/>
    <w:rsid w:val="00D80C36"/>
    <w:rsid w:val="00D81A32"/>
    <w:rsid w:val="00D86EE1"/>
    <w:rsid w:val="00D95E90"/>
    <w:rsid w:val="00D96126"/>
    <w:rsid w:val="00DA2FD5"/>
    <w:rsid w:val="00DB05C3"/>
    <w:rsid w:val="00DB4B1C"/>
    <w:rsid w:val="00DB5085"/>
    <w:rsid w:val="00DB619F"/>
    <w:rsid w:val="00DC1062"/>
    <w:rsid w:val="00DC132C"/>
    <w:rsid w:val="00DD43F0"/>
    <w:rsid w:val="00DD44DE"/>
    <w:rsid w:val="00DE09AB"/>
    <w:rsid w:val="00DE4A3F"/>
    <w:rsid w:val="00DE5A99"/>
    <w:rsid w:val="00DF3DD3"/>
    <w:rsid w:val="00DF4367"/>
    <w:rsid w:val="00DF4617"/>
    <w:rsid w:val="00DF5A9E"/>
    <w:rsid w:val="00DF6002"/>
    <w:rsid w:val="00DF7291"/>
    <w:rsid w:val="00E0574A"/>
    <w:rsid w:val="00E06F02"/>
    <w:rsid w:val="00E1243D"/>
    <w:rsid w:val="00E12742"/>
    <w:rsid w:val="00E146D4"/>
    <w:rsid w:val="00E21D37"/>
    <w:rsid w:val="00E220ED"/>
    <w:rsid w:val="00E22B44"/>
    <w:rsid w:val="00E30ACD"/>
    <w:rsid w:val="00E32735"/>
    <w:rsid w:val="00E36388"/>
    <w:rsid w:val="00E440FD"/>
    <w:rsid w:val="00E44B88"/>
    <w:rsid w:val="00E51A10"/>
    <w:rsid w:val="00E575ED"/>
    <w:rsid w:val="00E66E36"/>
    <w:rsid w:val="00E702ED"/>
    <w:rsid w:val="00E709A4"/>
    <w:rsid w:val="00E772DB"/>
    <w:rsid w:val="00E86012"/>
    <w:rsid w:val="00E86BAB"/>
    <w:rsid w:val="00E94E10"/>
    <w:rsid w:val="00E96743"/>
    <w:rsid w:val="00E96A42"/>
    <w:rsid w:val="00EA49C5"/>
    <w:rsid w:val="00EA4C69"/>
    <w:rsid w:val="00EA6279"/>
    <w:rsid w:val="00EB0812"/>
    <w:rsid w:val="00EB5027"/>
    <w:rsid w:val="00EC1836"/>
    <w:rsid w:val="00EC3990"/>
    <w:rsid w:val="00EC484B"/>
    <w:rsid w:val="00EC7E58"/>
    <w:rsid w:val="00ED15FA"/>
    <w:rsid w:val="00ED5C9F"/>
    <w:rsid w:val="00ED5F81"/>
    <w:rsid w:val="00EE6E9A"/>
    <w:rsid w:val="00EF27E5"/>
    <w:rsid w:val="00EF2AC4"/>
    <w:rsid w:val="00EF38FB"/>
    <w:rsid w:val="00EF397E"/>
    <w:rsid w:val="00EF51CE"/>
    <w:rsid w:val="00F06B54"/>
    <w:rsid w:val="00F06F68"/>
    <w:rsid w:val="00F15E9D"/>
    <w:rsid w:val="00F160CE"/>
    <w:rsid w:val="00F24C2D"/>
    <w:rsid w:val="00F27D59"/>
    <w:rsid w:val="00F32A2F"/>
    <w:rsid w:val="00F32A81"/>
    <w:rsid w:val="00F337E8"/>
    <w:rsid w:val="00F40C82"/>
    <w:rsid w:val="00F40D07"/>
    <w:rsid w:val="00F4197F"/>
    <w:rsid w:val="00F42E25"/>
    <w:rsid w:val="00F44514"/>
    <w:rsid w:val="00F45DFF"/>
    <w:rsid w:val="00F46998"/>
    <w:rsid w:val="00F5382D"/>
    <w:rsid w:val="00F53D9C"/>
    <w:rsid w:val="00F5462B"/>
    <w:rsid w:val="00F54AB3"/>
    <w:rsid w:val="00F57205"/>
    <w:rsid w:val="00F634AD"/>
    <w:rsid w:val="00F63677"/>
    <w:rsid w:val="00F6584C"/>
    <w:rsid w:val="00F71453"/>
    <w:rsid w:val="00F75B81"/>
    <w:rsid w:val="00F804C4"/>
    <w:rsid w:val="00F80C7E"/>
    <w:rsid w:val="00F82570"/>
    <w:rsid w:val="00F82763"/>
    <w:rsid w:val="00F82F83"/>
    <w:rsid w:val="00F83CE1"/>
    <w:rsid w:val="00F84506"/>
    <w:rsid w:val="00F8548A"/>
    <w:rsid w:val="00F90C64"/>
    <w:rsid w:val="00F91A55"/>
    <w:rsid w:val="00F92B30"/>
    <w:rsid w:val="00F933B9"/>
    <w:rsid w:val="00F94674"/>
    <w:rsid w:val="00F94919"/>
    <w:rsid w:val="00F94A59"/>
    <w:rsid w:val="00F94C52"/>
    <w:rsid w:val="00FA25B6"/>
    <w:rsid w:val="00FA2FAF"/>
    <w:rsid w:val="00FA54F6"/>
    <w:rsid w:val="00FA64B1"/>
    <w:rsid w:val="00FA70F3"/>
    <w:rsid w:val="00FA71CD"/>
    <w:rsid w:val="00FB0453"/>
    <w:rsid w:val="00FB0C07"/>
    <w:rsid w:val="00FB298D"/>
    <w:rsid w:val="00FC1439"/>
    <w:rsid w:val="00FC3F65"/>
    <w:rsid w:val="00FC724B"/>
    <w:rsid w:val="00FC7910"/>
    <w:rsid w:val="00FD01E0"/>
    <w:rsid w:val="00FD784C"/>
    <w:rsid w:val="00FE1627"/>
    <w:rsid w:val="00FE7122"/>
    <w:rsid w:val="00FF092F"/>
    <w:rsid w:val="00FF0DA7"/>
    <w:rsid w:val="00FF2750"/>
    <w:rsid w:val="00FF44E0"/>
    <w:rsid w:val="00FF6C72"/>
    <w:rsid w:val="02312CF6"/>
    <w:rsid w:val="02B35DB8"/>
    <w:rsid w:val="02E34A68"/>
    <w:rsid w:val="039E57CD"/>
    <w:rsid w:val="04226D5C"/>
    <w:rsid w:val="055E3AE7"/>
    <w:rsid w:val="05C5687D"/>
    <w:rsid w:val="069A0BF9"/>
    <w:rsid w:val="06C56F8C"/>
    <w:rsid w:val="06D014E2"/>
    <w:rsid w:val="07A22BC3"/>
    <w:rsid w:val="07B23446"/>
    <w:rsid w:val="07BC3C43"/>
    <w:rsid w:val="08D16064"/>
    <w:rsid w:val="097009E1"/>
    <w:rsid w:val="09BB1050"/>
    <w:rsid w:val="0A494D5A"/>
    <w:rsid w:val="0D1F15BD"/>
    <w:rsid w:val="0D8D5CCB"/>
    <w:rsid w:val="0E084F8C"/>
    <w:rsid w:val="0EDA1668"/>
    <w:rsid w:val="0F192B9A"/>
    <w:rsid w:val="0F416376"/>
    <w:rsid w:val="0F622165"/>
    <w:rsid w:val="10655244"/>
    <w:rsid w:val="112F7FC9"/>
    <w:rsid w:val="114F261F"/>
    <w:rsid w:val="11EB4D24"/>
    <w:rsid w:val="1204455E"/>
    <w:rsid w:val="12870C2B"/>
    <w:rsid w:val="12E626D2"/>
    <w:rsid w:val="13133A8A"/>
    <w:rsid w:val="131A7A16"/>
    <w:rsid w:val="13CC36A2"/>
    <w:rsid w:val="1454744D"/>
    <w:rsid w:val="148F5283"/>
    <w:rsid w:val="14BE2CBB"/>
    <w:rsid w:val="154F67B8"/>
    <w:rsid w:val="156555DC"/>
    <w:rsid w:val="156D7797"/>
    <w:rsid w:val="15E90EB9"/>
    <w:rsid w:val="16013BAC"/>
    <w:rsid w:val="16C67414"/>
    <w:rsid w:val="170F26A3"/>
    <w:rsid w:val="17847519"/>
    <w:rsid w:val="17993A3F"/>
    <w:rsid w:val="184D4DBD"/>
    <w:rsid w:val="19197809"/>
    <w:rsid w:val="1A0A6508"/>
    <w:rsid w:val="1A382FD5"/>
    <w:rsid w:val="1AAA278B"/>
    <w:rsid w:val="1BCD436C"/>
    <w:rsid w:val="1BFD4459"/>
    <w:rsid w:val="1CF87D44"/>
    <w:rsid w:val="1DD31509"/>
    <w:rsid w:val="1F530EF4"/>
    <w:rsid w:val="1FB406F8"/>
    <w:rsid w:val="20ED0716"/>
    <w:rsid w:val="216A2085"/>
    <w:rsid w:val="217C6B87"/>
    <w:rsid w:val="217E24F1"/>
    <w:rsid w:val="21AF3E63"/>
    <w:rsid w:val="226759F5"/>
    <w:rsid w:val="23C60639"/>
    <w:rsid w:val="23E03F0A"/>
    <w:rsid w:val="23FC6656"/>
    <w:rsid w:val="24B51FC1"/>
    <w:rsid w:val="24EA0792"/>
    <w:rsid w:val="26D238DD"/>
    <w:rsid w:val="270F5DA7"/>
    <w:rsid w:val="2837254C"/>
    <w:rsid w:val="287B480F"/>
    <w:rsid w:val="28A75F75"/>
    <w:rsid w:val="298A65C1"/>
    <w:rsid w:val="2A0E6BEB"/>
    <w:rsid w:val="2A8E2571"/>
    <w:rsid w:val="2A9F5DBB"/>
    <w:rsid w:val="2AA83D3D"/>
    <w:rsid w:val="2B5566EC"/>
    <w:rsid w:val="2BB27665"/>
    <w:rsid w:val="2BCB2A74"/>
    <w:rsid w:val="2BF40994"/>
    <w:rsid w:val="2D616A81"/>
    <w:rsid w:val="2DCF2C3D"/>
    <w:rsid w:val="2DE57862"/>
    <w:rsid w:val="2DE729E4"/>
    <w:rsid w:val="2DEA330D"/>
    <w:rsid w:val="2F987963"/>
    <w:rsid w:val="2FD22068"/>
    <w:rsid w:val="2FF35E2E"/>
    <w:rsid w:val="301663F8"/>
    <w:rsid w:val="325A1635"/>
    <w:rsid w:val="32D2200E"/>
    <w:rsid w:val="34496D9C"/>
    <w:rsid w:val="34640FA0"/>
    <w:rsid w:val="34801EA2"/>
    <w:rsid w:val="34A54406"/>
    <w:rsid w:val="34F803FB"/>
    <w:rsid w:val="3584168E"/>
    <w:rsid w:val="36AC53C0"/>
    <w:rsid w:val="36C2526A"/>
    <w:rsid w:val="36FC2227"/>
    <w:rsid w:val="37304AF2"/>
    <w:rsid w:val="388D79AF"/>
    <w:rsid w:val="38F00825"/>
    <w:rsid w:val="3B7B3AD7"/>
    <w:rsid w:val="3CD35707"/>
    <w:rsid w:val="3E2E12A7"/>
    <w:rsid w:val="3E555789"/>
    <w:rsid w:val="3EDD326F"/>
    <w:rsid w:val="3FAE53DF"/>
    <w:rsid w:val="4017778B"/>
    <w:rsid w:val="41D26E61"/>
    <w:rsid w:val="426D1825"/>
    <w:rsid w:val="42C363D1"/>
    <w:rsid w:val="42C75CCA"/>
    <w:rsid w:val="431D0A80"/>
    <w:rsid w:val="448410E0"/>
    <w:rsid w:val="44AA183B"/>
    <w:rsid w:val="478E3B60"/>
    <w:rsid w:val="481919D5"/>
    <w:rsid w:val="49914528"/>
    <w:rsid w:val="49CE4207"/>
    <w:rsid w:val="4ABA7AFD"/>
    <w:rsid w:val="4B2366A8"/>
    <w:rsid w:val="4BD25B7D"/>
    <w:rsid w:val="4C6729B1"/>
    <w:rsid w:val="4C870304"/>
    <w:rsid w:val="4CF473F8"/>
    <w:rsid w:val="4D6740E8"/>
    <w:rsid w:val="4D7E5769"/>
    <w:rsid w:val="4E175486"/>
    <w:rsid w:val="4E440C8F"/>
    <w:rsid w:val="4EB2304A"/>
    <w:rsid w:val="529F3633"/>
    <w:rsid w:val="53EC757D"/>
    <w:rsid w:val="54AF79BA"/>
    <w:rsid w:val="55A8546F"/>
    <w:rsid w:val="564F3AFA"/>
    <w:rsid w:val="56860677"/>
    <w:rsid w:val="56D9711D"/>
    <w:rsid w:val="570C5CDB"/>
    <w:rsid w:val="578D1FA0"/>
    <w:rsid w:val="579D3CD7"/>
    <w:rsid w:val="58473282"/>
    <w:rsid w:val="59254FFB"/>
    <w:rsid w:val="59740826"/>
    <w:rsid w:val="599D7350"/>
    <w:rsid w:val="59EF2406"/>
    <w:rsid w:val="5A29513B"/>
    <w:rsid w:val="5BFB07BD"/>
    <w:rsid w:val="5C8C08F8"/>
    <w:rsid w:val="5D5F6439"/>
    <w:rsid w:val="5E2A0411"/>
    <w:rsid w:val="5EAD6FD3"/>
    <w:rsid w:val="5F567DA4"/>
    <w:rsid w:val="5F7B6FE8"/>
    <w:rsid w:val="5F7C32D2"/>
    <w:rsid w:val="5F7E15DA"/>
    <w:rsid w:val="5FEE174D"/>
    <w:rsid w:val="6051165B"/>
    <w:rsid w:val="606757AF"/>
    <w:rsid w:val="61A11E31"/>
    <w:rsid w:val="62156A35"/>
    <w:rsid w:val="627C2424"/>
    <w:rsid w:val="62FB30A8"/>
    <w:rsid w:val="62FE27B3"/>
    <w:rsid w:val="63276ADA"/>
    <w:rsid w:val="6566705C"/>
    <w:rsid w:val="665B1AD9"/>
    <w:rsid w:val="670A4856"/>
    <w:rsid w:val="68A22134"/>
    <w:rsid w:val="699F374B"/>
    <w:rsid w:val="6A0B745D"/>
    <w:rsid w:val="6A406AE2"/>
    <w:rsid w:val="6A5437CA"/>
    <w:rsid w:val="6BDC62F3"/>
    <w:rsid w:val="6C684E8E"/>
    <w:rsid w:val="6C8D40AC"/>
    <w:rsid w:val="6DCD29A5"/>
    <w:rsid w:val="6F161EC5"/>
    <w:rsid w:val="6F827D41"/>
    <w:rsid w:val="6FDD4F98"/>
    <w:rsid w:val="6FEA7CED"/>
    <w:rsid w:val="703C6245"/>
    <w:rsid w:val="70480FAF"/>
    <w:rsid w:val="70551C88"/>
    <w:rsid w:val="705D5F09"/>
    <w:rsid w:val="70F95EE6"/>
    <w:rsid w:val="71E32ECA"/>
    <w:rsid w:val="721D3CB7"/>
    <w:rsid w:val="73C452A7"/>
    <w:rsid w:val="74B4674E"/>
    <w:rsid w:val="74E86DF5"/>
    <w:rsid w:val="74E90665"/>
    <w:rsid w:val="77946BB7"/>
    <w:rsid w:val="77F518EE"/>
    <w:rsid w:val="78573645"/>
    <w:rsid w:val="78D310C6"/>
    <w:rsid w:val="795F5D57"/>
    <w:rsid w:val="7A362526"/>
    <w:rsid w:val="7B595569"/>
    <w:rsid w:val="7BFD65F9"/>
    <w:rsid w:val="7C6D5290"/>
    <w:rsid w:val="7C7D0D64"/>
    <w:rsid w:val="7CCE07D1"/>
    <w:rsid w:val="7E3D32A0"/>
    <w:rsid w:val="7FE3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99" w:name="Balloon Text"/>
    <w:lsdException w:qFormat="1" w:uiPriority="3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sz w:val="32"/>
      <w:szCs w:val="32"/>
    </w:rPr>
  </w:style>
  <w:style w:type="paragraph" w:styleId="4">
    <w:name w:val="heading 3"/>
    <w:basedOn w:val="1"/>
    <w:next w:val="1"/>
    <w:link w:val="54"/>
    <w:autoRedefine/>
    <w:semiHidden/>
    <w:unhideWhenUsed/>
    <w:qFormat/>
    <w:uiPriority w:val="9"/>
    <w:pPr>
      <w:keepNext/>
      <w:keepLines/>
      <w:spacing w:before="260" w:after="260" w:line="416" w:lineRule="auto"/>
      <w:outlineLvl w:val="2"/>
    </w:pPr>
    <w:rPr>
      <w:sz w:val="32"/>
      <w:szCs w:val="32"/>
    </w:rPr>
  </w:style>
  <w:style w:type="paragraph" w:styleId="5">
    <w:name w:val="heading 4"/>
    <w:basedOn w:val="1"/>
    <w:next w:val="6"/>
    <w:link w:val="59"/>
    <w:autoRedefine/>
    <w:qFormat/>
    <w:uiPriority w:val="0"/>
    <w:pPr>
      <w:keepNext/>
      <w:keepLines/>
      <w:spacing w:before="280" w:after="290" w:line="376" w:lineRule="auto"/>
      <w:outlineLvl w:val="3"/>
    </w:pPr>
    <w:rPr>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1"/>
    <w:autoRedefine/>
    <w:qFormat/>
    <w:uiPriority w:val="0"/>
    <w:pPr>
      <w:jc w:val="left"/>
    </w:pPr>
    <w:rPr>
      <w:rFonts w:ascii="Arial" w:hAnsi="Arial" w:eastAsia="黑体" w:cs="Arial"/>
    </w:rPr>
  </w:style>
  <w:style w:type="paragraph" w:styleId="10">
    <w:name w:val="Body Text 3"/>
    <w:basedOn w:val="1"/>
    <w:qFormat/>
    <w:uiPriority w:val="0"/>
    <w:rPr>
      <w:rFonts w:ascii="仿宋_GB2312" w:hAnsi="Arial" w:eastAsia="仿宋_GB2312"/>
      <w:sz w:val="32"/>
    </w:rPr>
  </w:style>
  <w:style w:type="paragraph" w:styleId="11">
    <w:name w:val="Body Text"/>
    <w:basedOn w:val="1"/>
    <w:link w:val="60"/>
    <w:autoRedefine/>
    <w:qFormat/>
    <w:uiPriority w:val="0"/>
    <w:pPr>
      <w:spacing w:after="120"/>
    </w:pPr>
    <w:rPr>
      <w:rFonts w:ascii="@微软简标宋" w:hAnsi="@微软简标宋" w:eastAsia="@微软简标宋" w:cs="@微软简标宋"/>
      <w:szCs w:val="24"/>
      <w:lang w:val="zh-CN"/>
    </w:rPr>
  </w:style>
  <w:style w:type="paragraph" w:styleId="12">
    <w:name w:val="Body Text Indent"/>
    <w:basedOn w:val="1"/>
    <w:next w:val="13"/>
    <w:autoRedefine/>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0"/>
    <w:autoRedefine/>
    <w:qFormat/>
    <w:uiPriority w:val="99"/>
    <w:rPr>
      <w:rFonts w:ascii="宋体" w:hAnsi="Courier New" w:eastAsiaTheme="minorEastAsia" w:cstheme="minorBidi"/>
      <w:szCs w:val="22"/>
    </w:rPr>
  </w:style>
  <w:style w:type="paragraph" w:styleId="16">
    <w:name w:val="Date"/>
    <w:basedOn w:val="1"/>
    <w:next w:val="1"/>
    <w:link w:val="47"/>
    <w:autoRedefine/>
    <w:qFormat/>
    <w:uiPriority w:val="0"/>
    <w:rPr>
      <w:rFonts w:ascii="Arial" w:hAnsi="Arial" w:eastAsia="宋体" w:cs="Arial"/>
      <w:b/>
      <w:sz w:val="28"/>
    </w:rPr>
  </w:style>
  <w:style w:type="paragraph" w:styleId="17">
    <w:name w:val="Balloon Text"/>
    <w:basedOn w:val="1"/>
    <w:link w:val="34"/>
    <w:autoRedefine/>
    <w:semiHidden/>
    <w:unhideWhenUsed/>
    <w:qFormat/>
    <w:uiPriority w:val="99"/>
    <w:rPr>
      <w:sz w:val="18"/>
      <w:szCs w:val="18"/>
    </w:rPr>
  </w:style>
  <w:style w:type="paragraph" w:styleId="18">
    <w:name w:val="footer"/>
    <w:basedOn w:val="1"/>
    <w:link w:val="39"/>
    <w:autoRedefine/>
    <w:unhideWhenUsed/>
    <w:qFormat/>
    <w:uiPriority w:val="99"/>
    <w:pPr>
      <w:tabs>
        <w:tab w:val="center" w:pos="4153"/>
        <w:tab w:val="right" w:pos="8306"/>
      </w:tabs>
      <w:snapToGrid w:val="0"/>
      <w:jc w:val="left"/>
    </w:pPr>
    <w:rPr>
      <w:sz w:val="18"/>
      <w:szCs w:val="18"/>
    </w:rPr>
  </w:style>
  <w:style w:type="paragraph" w:styleId="19">
    <w:name w:val="header"/>
    <w:basedOn w:val="1"/>
    <w:link w:val="3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List"/>
    <w:basedOn w:val="1"/>
    <w:next w:val="1"/>
    <w:qFormat/>
    <w:uiPriority w:val="0"/>
    <w:pPr>
      <w:ind w:left="420" w:hanging="420"/>
    </w:pPr>
    <w:rPr>
      <w:rFonts w:ascii="Arial" w:hAnsi="Arial" w:eastAsia="楷体_GB2312"/>
      <w:sz w:val="28"/>
    </w:rPr>
  </w:style>
  <w:style w:type="paragraph" w:styleId="2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annotation subject"/>
    <w:basedOn w:val="9"/>
    <w:next w:val="9"/>
    <w:link w:val="61"/>
    <w:autoRedefine/>
    <w:semiHidden/>
    <w:unhideWhenUsed/>
    <w:qFormat/>
    <w:uiPriority w:val="99"/>
    <w:rPr>
      <w:rFonts w:ascii="@仿宋_GB2312" w:hAnsi="@仿宋_GB2312" w:eastAsia="@仿宋_GB2312" w:cs="@仿宋_GB2312"/>
      <w:b/>
      <w:bCs/>
    </w:rPr>
  </w:style>
  <w:style w:type="paragraph" w:styleId="26">
    <w:name w:val="Body Text First Indent"/>
    <w:basedOn w:val="11"/>
    <w:autoRedefine/>
    <w:unhideWhenUsed/>
    <w:qFormat/>
    <w:uiPriority w:val="99"/>
    <w:pPr>
      <w:ind w:firstLine="420" w:firstLineChars="100"/>
    </w:pPr>
  </w:style>
  <w:style w:type="paragraph" w:styleId="27">
    <w:name w:val="Body Text First Indent 2"/>
    <w:basedOn w:val="12"/>
    <w:next w:val="1"/>
    <w:qFormat/>
    <w:uiPriority w:val="0"/>
    <w:pPr>
      <w:ind w:firstLine="420" w:firstLineChars="200"/>
    </w:pPr>
  </w:style>
  <w:style w:type="table" w:styleId="29">
    <w:name w:val="Table Grid"/>
    <w:basedOn w:val="28"/>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0"/>
    <w:rPr>
      <w:b/>
      <w:bCs/>
    </w:rPr>
  </w:style>
  <w:style w:type="character" w:styleId="32">
    <w:name w:val="Hyperlink"/>
    <w:basedOn w:val="30"/>
    <w:autoRedefine/>
    <w:unhideWhenUsed/>
    <w:qFormat/>
    <w:uiPriority w:val="99"/>
    <w:rPr>
      <w:color w:val="0000FF" w:themeColor="hyperlink"/>
      <w:u w:val="single"/>
      <w14:textFill>
        <w14:solidFill>
          <w14:schemeClr w14:val="hlink"/>
        </w14:solidFill>
      </w14:textFill>
    </w:rPr>
  </w:style>
  <w:style w:type="character" w:styleId="33">
    <w:name w:val="annotation reference"/>
    <w:basedOn w:val="30"/>
    <w:autoRedefine/>
    <w:semiHidden/>
    <w:unhideWhenUsed/>
    <w:qFormat/>
    <w:uiPriority w:val="99"/>
    <w:rPr>
      <w:sz w:val="21"/>
      <w:szCs w:val="21"/>
    </w:rPr>
  </w:style>
  <w:style w:type="character" w:customStyle="1" w:styleId="34">
    <w:name w:val="批注框文本 Char"/>
    <w:basedOn w:val="30"/>
    <w:link w:val="17"/>
    <w:autoRedefine/>
    <w:semiHidden/>
    <w:qFormat/>
    <w:uiPriority w:val="99"/>
    <w:rPr>
      <w:rFonts w:ascii="@仿宋_GB2312" w:hAnsi="@仿宋_GB2312" w:eastAsia="@仿宋_GB2312" w:cs="@仿宋_GB2312"/>
      <w:sz w:val="18"/>
      <w:szCs w:val="18"/>
    </w:rPr>
  </w:style>
  <w:style w:type="paragraph" w:customStyle="1" w:styleId="35">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7">
    <w:name w:val="D&amp;L"/>
    <w:basedOn w:val="19"/>
    <w:autoRedefine/>
    <w:qFormat/>
    <w:uiPriority w:val="0"/>
    <w:pPr>
      <w:pBdr>
        <w:bottom w:val="none" w:color="auto" w:sz="0" w:space="0"/>
      </w:pBdr>
      <w:tabs>
        <w:tab w:val="clear" w:pos="4153"/>
        <w:tab w:val="clear" w:pos="8306"/>
      </w:tabs>
      <w:snapToGrid/>
      <w:spacing w:line="360" w:lineRule="auto"/>
    </w:pPr>
    <w:rPr>
      <w:rFonts w:ascii="宋体" w:hAnsi="宋体" w:eastAsia="宋体"/>
      <w:bCs/>
      <w:color w:val="000000" w:themeColor="text1"/>
      <w:sz w:val="24"/>
      <w:szCs w:val="20"/>
      <w14:textFill>
        <w14:solidFill>
          <w14:schemeClr w14:val="tx1"/>
        </w14:solidFill>
      </w14:textFill>
    </w:rPr>
  </w:style>
  <w:style w:type="character" w:customStyle="1" w:styleId="38">
    <w:name w:val="页眉 Char"/>
    <w:basedOn w:val="30"/>
    <w:link w:val="19"/>
    <w:autoRedefine/>
    <w:qFormat/>
    <w:uiPriority w:val="0"/>
    <w:rPr>
      <w:rFonts w:ascii="@仿宋_GB2312" w:hAnsi="@仿宋_GB2312" w:eastAsia="@仿宋_GB2312" w:cs="@仿宋_GB2312"/>
      <w:sz w:val="18"/>
      <w:szCs w:val="18"/>
    </w:rPr>
  </w:style>
  <w:style w:type="character" w:customStyle="1" w:styleId="39">
    <w:name w:val="页脚 Char"/>
    <w:basedOn w:val="30"/>
    <w:link w:val="18"/>
    <w:autoRedefine/>
    <w:qFormat/>
    <w:uiPriority w:val="99"/>
    <w:rPr>
      <w:rFonts w:ascii="@仿宋_GB2312" w:hAnsi="@仿宋_GB2312" w:eastAsia="@仿宋_GB2312" w:cs="@仿宋_GB2312"/>
      <w:sz w:val="18"/>
      <w:szCs w:val="18"/>
    </w:rPr>
  </w:style>
  <w:style w:type="character" w:customStyle="1" w:styleId="40">
    <w:name w:val="纯文本 Char"/>
    <w:link w:val="15"/>
    <w:autoRedefine/>
    <w:qFormat/>
    <w:uiPriority w:val="0"/>
    <w:rPr>
      <w:rFonts w:ascii="宋体" w:hAnsi="Courier New"/>
    </w:rPr>
  </w:style>
  <w:style w:type="character" w:customStyle="1" w:styleId="41">
    <w:name w:val="纯文本 字符1"/>
    <w:basedOn w:val="30"/>
    <w:autoRedefine/>
    <w:semiHidden/>
    <w:qFormat/>
    <w:uiPriority w:val="99"/>
    <w:rPr>
      <w:rFonts w:hAnsi="Courier New" w:cs="Courier New" w:asciiTheme="minorEastAsia"/>
      <w:szCs w:val="20"/>
    </w:rPr>
  </w:style>
  <w:style w:type="character" w:customStyle="1" w:styleId="42">
    <w:name w:val="未处理的提及1"/>
    <w:basedOn w:val="30"/>
    <w:autoRedefine/>
    <w:semiHidden/>
    <w:unhideWhenUsed/>
    <w:qFormat/>
    <w:uiPriority w:val="99"/>
    <w:rPr>
      <w:color w:val="605E5C"/>
      <w:shd w:val="clear" w:color="auto" w:fill="E1DFDD"/>
    </w:rPr>
  </w:style>
  <w:style w:type="paragraph" w:styleId="43">
    <w:name w:val="List Paragraph"/>
    <w:basedOn w:val="1"/>
    <w:autoRedefine/>
    <w:qFormat/>
    <w:uiPriority w:val="34"/>
    <w:pPr>
      <w:ind w:firstLine="420" w:firstLineChars="200"/>
    </w:pPr>
  </w:style>
  <w:style w:type="paragraph" w:customStyle="1" w:styleId="44">
    <w:name w:val="Char Char Char Char Char Char Char1 Char"/>
    <w:basedOn w:val="1"/>
    <w:autoRedefine/>
    <w:qFormat/>
    <w:uiPriority w:val="0"/>
    <w:rPr>
      <w:rFonts w:ascii="Arial" w:hAnsi="Arial" w:eastAsia="宋体" w:cs="Arial"/>
      <w:sz w:val="24"/>
    </w:rPr>
  </w:style>
  <w:style w:type="table" w:customStyle="1" w:styleId="45">
    <w:name w:val="网格表 1 浅色1"/>
    <w:basedOn w:val="2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6">
    <w:name w:val="日期 字符"/>
    <w:basedOn w:val="30"/>
    <w:autoRedefine/>
    <w:semiHidden/>
    <w:qFormat/>
    <w:uiPriority w:val="99"/>
    <w:rPr>
      <w:rFonts w:ascii="@仿宋_GB2312" w:hAnsi="@仿宋_GB2312" w:eastAsia="@仿宋_GB2312" w:cs="@仿宋_GB2312"/>
      <w:szCs w:val="20"/>
    </w:rPr>
  </w:style>
  <w:style w:type="character" w:customStyle="1" w:styleId="47">
    <w:name w:val="日期 Char"/>
    <w:link w:val="16"/>
    <w:autoRedefine/>
    <w:qFormat/>
    <w:uiPriority w:val="0"/>
    <w:rPr>
      <w:rFonts w:ascii="Arial" w:hAnsi="Arial" w:eastAsia="宋体" w:cs="Arial"/>
      <w:b/>
      <w:sz w:val="28"/>
      <w:szCs w:val="20"/>
    </w:rPr>
  </w:style>
  <w:style w:type="character" w:customStyle="1" w:styleId="48">
    <w:name w:val="纯文本 Char1"/>
    <w:link w:val="49"/>
    <w:autoRedefine/>
    <w:qFormat/>
    <w:locked/>
    <w:uiPriority w:val="0"/>
    <w:rPr>
      <w:rFonts w:ascii="Arial" w:hAnsi="Arial" w:eastAsia="Arial"/>
      <w:kern w:val="2"/>
      <w:sz w:val="21"/>
      <w:lang w:val="en-US" w:eastAsia="zh-CN" w:bidi="ar-SA"/>
    </w:rPr>
  </w:style>
  <w:style w:type="paragraph" w:customStyle="1" w:styleId="49">
    <w:name w:val="纯文本1"/>
    <w:basedOn w:val="1"/>
    <w:link w:val="48"/>
    <w:autoRedefine/>
    <w:qFormat/>
    <w:uiPriority w:val="0"/>
    <w:rPr>
      <w:rFonts w:ascii="Arial" w:hAnsi="Arial" w:eastAsia="Arial" w:cstheme="minorBidi"/>
    </w:rPr>
  </w:style>
  <w:style w:type="character" w:customStyle="1" w:styleId="50">
    <w:name w:val="批注文字 Char"/>
    <w:basedOn w:val="30"/>
    <w:autoRedefine/>
    <w:semiHidden/>
    <w:qFormat/>
    <w:uiPriority w:val="99"/>
    <w:rPr>
      <w:rFonts w:ascii="@仿宋_GB2312" w:hAnsi="@仿宋_GB2312" w:eastAsia="@仿宋_GB2312" w:cs="@仿宋_GB2312"/>
      <w:szCs w:val="20"/>
    </w:rPr>
  </w:style>
  <w:style w:type="character" w:customStyle="1" w:styleId="51">
    <w:name w:val="批注文字 Char1"/>
    <w:link w:val="9"/>
    <w:autoRedefine/>
    <w:qFormat/>
    <w:uiPriority w:val="0"/>
    <w:rPr>
      <w:rFonts w:ascii="Arial" w:hAnsi="Arial" w:eastAsia="黑体" w:cs="Arial"/>
      <w:szCs w:val="20"/>
    </w:rPr>
  </w:style>
  <w:style w:type="character" w:customStyle="1" w:styleId="52">
    <w:name w:val="标题 1 Char"/>
    <w:basedOn w:val="30"/>
    <w:link w:val="2"/>
    <w:autoRedefine/>
    <w:qFormat/>
    <w:uiPriority w:val="9"/>
    <w:rPr>
      <w:rFonts w:ascii="@仿宋_GB2312" w:hAnsi="@仿宋_GB2312" w:eastAsia="@仿宋_GB2312" w:cs="@仿宋_GB2312"/>
      <w:b/>
      <w:bCs/>
      <w:kern w:val="44"/>
      <w:sz w:val="44"/>
      <w:szCs w:val="44"/>
    </w:rPr>
  </w:style>
  <w:style w:type="paragraph" w:customStyle="1" w:styleId="5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4">
    <w:name w:val="标题 3 Char"/>
    <w:basedOn w:val="30"/>
    <w:link w:val="4"/>
    <w:autoRedefine/>
    <w:semiHidden/>
    <w:qFormat/>
    <w:uiPriority w:val="9"/>
    <w:rPr>
      <w:rFonts w:ascii="@仿宋_GB2312" w:hAnsi="@仿宋_GB2312" w:eastAsia="@仿宋_GB2312" w:cs="@仿宋_GB2312"/>
      <w:b/>
      <w:bCs/>
      <w:sz w:val="32"/>
      <w:szCs w:val="32"/>
    </w:rPr>
  </w:style>
  <w:style w:type="character" w:customStyle="1" w:styleId="55">
    <w:name w:val="fontstyle01"/>
    <w:basedOn w:val="30"/>
    <w:autoRedefine/>
    <w:qFormat/>
    <w:uiPriority w:val="0"/>
    <w:rPr>
      <w:rFonts w:hint="eastAsia" w:ascii="宋体" w:hAnsi="宋体" w:eastAsia="宋体"/>
      <w:color w:val="000000"/>
      <w:sz w:val="22"/>
      <w:szCs w:val="22"/>
    </w:rPr>
  </w:style>
  <w:style w:type="character" w:customStyle="1" w:styleId="56">
    <w:name w:val="fontstyle21"/>
    <w:basedOn w:val="30"/>
    <w:autoRedefine/>
    <w:qFormat/>
    <w:uiPriority w:val="0"/>
    <w:rPr>
      <w:rFonts w:hint="default" w:ascii="TimesNewRomanPSMT" w:hAnsi="TimesNewRomanPSMT"/>
      <w:color w:val="000000"/>
      <w:sz w:val="22"/>
      <w:szCs w:val="22"/>
    </w:rPr>
  </w:style>
  <w:style w:type="character" w:customStyle="1" w:styleId="5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8">
    <w:name w:val="标题 4 字符"/>
    <w:basedOn w:val="30"/>
    <w:autoRedefine/>
    <w:semiHidden/>
    <w:qFormat/>
    <w:uiPriority w:val="9"/>
    <w:rPr>
      <w:rFonts w:asciiTheme="majorHAnsi" w:hAnsiTheme="majorHAnsi" w:eastAsiaTheme="majorEastAsia" w:cstheme="majorBidi"/>
      <w:b/>
      <w:bCs/>
      <w:sz w:val="28"/>
      <w:szCs w:val="28"/>
    </w:rPr>
  </w:style>
  <w:style w:type="character" w:customStyle="1" w:styleId="59">
    <w:name w:val="标题 4 Char"/>
    <w:link w:val="5"/>
    <w:autoRedefine/>
    <w:qFormat/>
    <w:uiPriority w:val="0"/>
    <w:rPr>
      <w:rFonts w:ascii="@仿宋_GB2312" w:hAnsi="@仿宋_GB2312" w:eastAsia="@仿宋_GB2312" w:cs="@仿宋_GB2312"/>
      <w:b/>
      <w:bCs/>
      <w:sz w:val="28"/>
      <w:szCs w:val="28"/>
    </w:rPr>
  </w:style>
  <w:style w:type="character" w:customStyle="1" w:styleId="60">
    <w:name w:val="正文文本 Char"/>
    <w:basedOn w:val="30"/>
    <w:link w:val="11"/>
    <w:autoRedefine/>
    <w:qFormat/>
    <w:uiPriority w:val="0"/>
    <w:rPr>
      <w:rFonts w:ascii="@微软简标宋" w:hAnsi="@微软简标宋" w:eastAsia="@微软简标宋" w:cs="@微软简标宋"/>
      <w:szCs w:val="24"/>
      <w:lang w:val="zh-CN" w:eastAsia="zh-CN"/>
    </w:rPr>
  </w:style>
  <w:style w:type="character" w:customStyle="1" w:styleId="61">
    <w:name w:val="批注主题 Char"/>
    <w:basedOn w:val="51"/>
    <w:link w:val="25"/>
    <w:autoRedefine/>
    <w:semiHidden/>
    <w:qFormat/>
    <w:uiPriority w:val="99"/>
    <w:rPr>
      <w:rFonts w:ascii="@仿宋_GB2312" w:hAnsi="@仿宋_GB2312" w:eastAsia="@仿宋_GB2312" w:cs="@仿宋_GB2312"/>
      <w:b/>
      <w:bCs/>
      <w:kern w:val="2"/>
      <w:sz w:val="21"/>
      <w:szCs w:val="20"/>
    </w:rPr>
  </w:style>
  <w:style w:type="table" w:customStyle="1" w:styleId="62">
    <w:name w:val="Table Normal"/>
    <w:autoRedefine/>
    <w:semiHidden/>
    <w:unhideWhenUsed/>
    <w:qFormat/>
    <w:uiPriority w:val="0"/>
    <w:tblPr>
      <w:tblCellMar>
        <w:top w:w="0" w:type="dxa"/>
        <w:left w:w="0" w:type="dxa"/>
        <w:bottom w:w="0" w:type="dxa"/>
        <w:right w:w="0" w:type="dxa"/>
      </w:tblCellMar>
    </w:tblPr>
  </w:style>
  <w:style w:type="paragraph" w:customStyle="1" w:styleId="63">
    <w:name w:val="Table Text"/>
    <w:basedOn w:val="1"/>
    <w:autoRedefine/>
    <w:semiHidden/>
    <w:qFormat/>
    <w:uiPriority w:val="0"/>
    <w:rPr>
      <w:rFonts w:ascii="Arial" w:hAnsi="Arial" w:eastAsia="Arial" w:cs="Arial"/>
      <w:szCs w:val="21"/>
      <w:lang w:eastAsia="en-US"/>
    </w:rPr>
  </w:style>
  <w:style w:type="paragraph" w:customStyle="1" w:styleId="6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5">
    <w:name w:val="列出段落1"/>
    <w:basedOn w:val="1"/>
    <w:autoRedefine/>
    <w:qFormat/>
    <w:uiPriority w:val="0"/>
    <w:pPr>
      <w:ind w:firstLine="420" w:firstLineChars="200"/>
    </w:pPr>
    <w:rPr>
      <w:szCs w:val="21"/>
    </w:rPr>
  </w:style>
  <w:style w:type="paragraph" w:customStyle="1" w:styleId="66">
    <w:name w:val="Table Paragraph"/>
    <w:basedOn w:val="1"/>
    <w:qFormat/>
    <w:uiPriority w:val="1"/>
  </w:style>
  <w:style w:type="paragraph" w:customStyle="1" w:styleId="67">
    <w:name w:val="节标题"/>
    <w:basedOn w:val="1"/>
    <w:next w:val="1"/>
    <w:autoRedefine/>
    <w:qFormat/>
    <w:uiPriority w:val="0"/>
    <w:pPr>
      <w:widowControl/>
      <w:spacing w:line="289" w:lineRule="atLeast"/>
      <w:jc w:val="center"/>
      <w:textAlignment w:val="baseline"/>
    </w:pPr>
    <w:rPr>
      <w:color w:val="000000"/>
      <w:kern w:val="0"/>
      <w:sz w:val="28"/>
    </w:rPr>
  </w:style>
  <w:style w:type="paragraph" w:customStyle="1" w:styleId="6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69">
    <w:name w:val="正文-表格"/>
    <w:basedOn w:val="1"/>
    <w:qFormat/>
    <w:uiPriority w:val="0"/>
    <w:pPr>
      <w:widowControl/>
    </w:pPr>
    <w:rPr>
      <w:rFonts w:ascii="宋体" w:hAnsi="宋体"/>
      <w:color w:val="000000" w:themeColor="text1"/>
      <w:szCs w:val="28"/>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EC9DC-193D-41CB-853A-7B5BF7517847}">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64</Pages>
  <Words>31918</Words>
  <Characters>33452</Characters>
  <Lines>262</Lines>
  <Paragraphs>73</Paragraphs>
  <TotalTime>1</TotalTime>
  <ScaleCrop>false</ScaleCrop>
  <LinksUpToDate>false</LinksUpToDate>
  <CharactersWithSpaces>36786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2024-09-04T08:48:00Z</dcterms:created>
  <dc:creator>Anakin</dc:creator>
  <cp:lastModifiedBy>吴静</cp:lastModifiedBy>
  <cp:lastPrinted>2019-12-07T15:20:00Z</cp:lastPrinted>
  <dcterms:modified xsi:type="dcterms:W3CDTF">2024-09-05T08:27:31Z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917374C2A8D64C93B8D9CD2AA9BF3810_13</vt:lpwstr>
  </property>
</Properties>
</file>